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245FA" w14:textId="26134484" w:rsidR="00696221" w:rsidRDefault="00696221" w:rsidP="008312C5">
      <w:pPr>
        <w:jc w:val="center"/>
        <w:rPr>
          <w:rFonts w:ascii="Calibri" w:eastAsia="Calibri" w:hAnsi="Calibri" w:cs="Calibri"/>
          <w:b/>
          <w:bCs/>
          <w:color w:val="000000"/>
        </w:rPr>
      </w:pPr>
      <w:r w:rsidRPr="00696221">
        <w:rPr>
          <w:rFonts w:ascii="Calibri" w:eastAsia="Calibri" w:hAnsi="Calibri" w:cs="Calibri"/>
          <w:b/>
          <w:bCs/>
          <w:color w:val="000000"/>
        </w:rPr>
        <w:t>AV Dosing and AE Management in Patients With Untreated CLL</w:t>
      </w:r>
    </w:p>
    <w:p w14:paraId="4EA767C4" w14:textId="286E2F1D" w:rsidR="00696221" w:rsidRDefault="00696221" w:rsidP="008312C5">
      <w:pPr>
        <w:jc w:val="center"/>
        <w:rPr>
          <w:rFonts w:ascii="Calibri" w:eastAsia="Calibri" w:hAnsi="Calibri" w:cs="Calibri"/>
          <w:b/>
          <w:bCs/>
          <w:color w:val="000000"/>
        </w:rPr>
      </w:pPr>
      <w:r w:rsidRPr="00696221">
        <w:rPr>
          <w:rFonts w:ascii="Calibri" w:eastAsia="Calibri" w:hAnsi="Calibri" w:cs="Calibri"/>
          <w:b/>
          <w:bCs/>
          <w:color w:val="000000"/>
        </w:rPr>
        <w:t>Part 2: Following Up After Initial Treatment</w:t>
      </w:r>
    </w:p>
    <w:p w14:paraId="22610F7F" w14:textId="77777777" w:rsidR="008312C5" w:rsidRPr="00696221" w:rsidRDefault="008312C5" w:rsidP="008312C5">
      <w:pPr>
        <w:jc w:val="center"/>
        <w:rPr>
          <w:rFonts w:ascii="Calibri" w:eastAsia="Calibri" w:hAnsi="Calibri" w:cs="Calibri"/>
          <w:color w:val="000000"/>
        </w:rPr>
      </w:pPr>
    </w:p>
    <w:p w14:paraId="3D890A76" w14:textId="4B41C488" w:rsidR="00A77B3E" w:rsidRPr="00B95441" w:rsidRDefault="00BA0707" w:rsidP="008312C5">
      <w:pPr>
        <w:rPr>
          <w:rFonts w:ascii="Calibri" w:eastAsia="Calibri" w:hAnsi="Calibri" w:cs="Calibri"/>
          <w:b/>
          <w:bCs/>
          <w:color w:val="000000"/>
          <w:sz w:val="22"/>
        </w:rPr>
      </w:pPr>
      <w:r w:rsidRPr="00B95441">
        <w:rPr>
          <w:rFonts w:ascii="Calibri" w:eastAsia="Calibri" w:hAnsi="Calibri" w:cs="Calibri"/>
          <w:b/>
          <w:bCs/>
          <w:color w:val="000000"/>
          <w:sz w:val="22"/>
        </w:rPr>
        <w:t>Jamila Brutus</w:t>
      </w:r>
      <w:r w:rsidR="00B95441">
        <w:rPr>
          <w:rFonts w:ascii="Calibri" w:eastAsia="Calibri" w:hAnsi="Calibri" w:cs="Calibri"/>
          <w:b/>
          <w:bCs/>
          <w:color w:val="000000"/>
          <w:sz w:val="22"/>
        </w:rPr>
        <w:t>:</w:t>
      </w:r>
    </w:p>
    <w:p w14:paraId="3D890A77" w14:textId="65E7A8AA"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Welcome back to </w:t>
      </w:r>
      <w:r w:rsidR="18D0F6FF" w:rsidRPr="14162E0D">
        <w:rPr>
          <w:rFonts w:ascii="Calibri" w:eastAsia="Calibri" w:hAnsi="Calibri" w:cs="Calibri"/>
          <w:color w:val="000000" w:themeColor="text1"/>
          <w:sz w:val="22"/>
          <w:szCs w:val="22"/>
        </w:rPr>
        <w:t>P</w:t>
      </w:r>
      <w:r w:rsidRPr="14162E0D">
        <w:rPr>
          <w:rFonts w:ascii="Calibri" w:eastAsia="Calibri" w:hAnsi="Calibri" w:cs="Calibri"/>
          <w:color w:val="000000" w:themeColor="text1"/>
          <w:sz w:val="22"/>
          <w:szCs w:val="22"/>
        </w:rPr>
        <w:t xml:space="preserve">art </w:t>
      </w:r>
      <w:r w:rsidR="49B57652" w:rsidRPr="14162E0D">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 of this case</w:t>
      </w:r>
      <w:r w:rsidR="56BFDDE6" w:rsidRPr="14162E0D">
        <w:rPr>
          <w:rFonts w:ascii="Calibri" w:eastAsia="Calibri" w:hAnsi="Calibri" w:cs="Calibri"/>
          <w:color w:val="000000" w:themeColor="text1"/>
          <w:sz w:val="22"/>
          <w:szCs w:val="22"/>
        </w:rPr>
        <w:t>-based exchange</w:t>
      </w:r>
      <w:r w:rsidRPr="14162E0D">
        <w:rPr>
          <w:rFonts w:ascii="Calibri" w:eastAsia="Calibri" w:hAnsi="Calibri" w:cs="Calibri"/>
          <w:color w:val="000000" w:themeColor="text1"/>
          <w:sz w:val="22"/>
          <w:szCs w:val="22"/>
        </w:rPr>
        <w:t xml:space="preserve"> </w:t>
      </w:r>
      <w:r w:rsidR="4A4DB8CA" w:rsidRPr="14162E0D">
        <w:rPr>
          <w:rFonts w:ascii="Calibri" w:eastAsia="Calibri" w:hAnsi="Calibri" w:cs="Calibri"/>
          <w:color w:val="000000" w:themeColor="text1"/>
          <w:sz w:val="22"/>
          <w:szCs w:val="22"/>
        </w:rPr>
        <w:t xml:space="preserve">on </w:t>
      </w:r>
      <w:r w:rsidRPr="14162E0D">
        <w:rPr>
          <w:rFonts w:ascii="Calibri" w:eastAsia="Calibri" w:hAnsi="Calibri" w:cs="Calibri"/>
          <w:color w:val="000000" w:themeColor="text1"/>
          <w:sz w:val="22"/>
          <w:szCs w:val="22"/>
        </w:rPr>
        <w:t>AV dosing and AE management in patients with untreated chronic lymphocytic leukemia. My name is Jamila Brutus. I am a nurse practitioner at Memorial Sloan-Kettering Cancer Center, and I specialize in chronic lymphocytic leukemia.</w:t>
      </w:r>
    </w:p>
    <w:p w14:paraId="05813469" w14:textId="77777777" w:rsidR="008312C5" w:rsidRDefault="008312C5" w:rsidP="008312C5">
      <w:pPr>
        <w:rPr>
          <w:rFonts w:ascii="Calibri" w:eastAsia="Calibri" w:hAnsi="Calibri" w:cs="Calibri"/>
          <w:color w:val="000000" w:themeColor="text1"/>
          <w:sz w:val="22"/>
          <w:szCs w:val="22"/>
        </w:rPr>
      </w:pPr>
    </w:p>
    <w:p w14:paraId="3D890A78" w14:textId="355F47C6" w:rsidR="00A77B3E" w:rsidRPr="00B95441" w:rsidRDefault="00BA0707" w:rsidP="008312C5">
      <w:pPr>
        <w:rPr>
          <w:rFonts w:ascii="Calibri" w:eastAsia="Calibri" w:hAnsi="Calibri" w:cs="Calibri"/>
          <w:b/>
          <w:bCs/>
          <w:color w:val="000000"/>
          <w:sz w:val="22"/>
        </w:rPr>
      </w:pPr>
      <w:r w:rsidRPr="00B95441">
        <w:rPr>
          <w:rFonts w:ascii="Calibri" w:eastAsia="Calibri" w:hAnsi="Calibri" w:cs="Calibri"/>
          <w:b/>
          <w:bCs/>
          <w:color w:val="000000"/>
          <w:sz w:val="22"/>
        </w:rPr>
        <w:t>Mary DiLorenzo</w:t>
      </w:r>
      <w:r w:rsidR="00B95441">
        <w:rPr>
          <w:rFonts w:ascii="Calibri" w:eastAsia="Calibri" w:hAnsi="Calibri" w:cs="Calibri"/>
          <w:b/>
          <w:bCs/>
          <w:color w:val="000000"/>
          <w:sz w:val="22"/>
        </w:rPr>
        <w:t>:</w:t>
      </w:r>
    </w:p>
    <w:p w14:paraId="3D890A79" w14:textId="77777777" w:rsidR="00A77B3E" w:rsidRDefault="00BA0707" w:rsidP="008312C5">
      <w:pPr>
        <w:rPr>
          <w:rFonts w:ascii="Calibri" w:eastAsia="Calibri" w:hAnsi="Calibri" w:cs="Calibri"/>
          <w:color w:val="000000"/>
          <w:sz w:val="22"/>
        </w:rPr>
      </w:pPr>
      <w:r>
        <w:rPr>
          <w:rFonts w:ascii="Calibri" w:eastAsia="Calibri" w:hAnsi="Calibri" w:cs="Calibri"/>
          <w:color w:val="000000"/>
          <w:sz w:val="22"/>
        </w:rPr>
        <w:t>Hi guys, my name is Mary Elizabeth DiLorenzo. I'm also an advanced practice provider that specializes in CLL therapy. I practice at the Novant Cancer Institute in Charlotte, North Carolina. Welcome.</w:t>
      </w:r>
    </w:p>
    <w:p w14:paraId="2C30CA4F" w14:textId="77777777" w:rsidR="008312C5" w:rsidRDefault="008312C5" w:rsidP="008312C5">
      <w:pPr>
        <w:rPr>
          <w:rFonts w:ascii="Calibri" w:eastAsia="Calibri" w:hAnsi="Calibri" w:cs="Calibri"/>
          <w:color w:val="000000"/>
          <w:sz w:val="22"/>
        </w:rPr>
      </w:pPr>
    </w:p>
    <w:p w14:paraId="607CB0C6" w14:textId="77777777" w:rsidR="00B95441" w:rsidRPr="00B95441" w:rsidRDefault="00B95441" w:rsidP="008312C5">
      <w:pPr>
        <w:rPr>
          <w:rFonts w:ascii="Calibri" w:eastAsia="Calibri" w:hAnsi="Calibri" w:cs="Calibri"/>
          <w:b/>
          <w:bCs/>
          <w:color w:val="000000"/>
          <w:sz w:val="22"/>
        </w:rPr>
      </w:pPr>
      <w:r w:rsidRPr="00B95441">
        <w:rPr>
          <w:rFonts w:ascii="Calibri" w:eastAsia="Calibri" w:hAnsi="Calibri" w:cs="Calibri"/>
          <w:b/>
          <w:bCs/>
          <w:color w:val="000000"/>
          <w:sz w:val="22"/>
        </w:rPr>
        <w:t>Jamila Brutus</w:t>
      </w:r>
      <w:r>
        <w:rPr>
          <w:rFonts w:ascii="Calibri" w:eastAsia="Calibri" w:hAnsi="Calibri" w:cs="Calibri"/>
          <w:b/>
          <w:bCs/>
          <w:color w:val="000000"/>
          <w:sz w:val="22"/>
        </w:rPr>
        <w:t>:</w:t>
      </w:r>
    </w:p>
    <w:p w14:paraId="0B357F39" w14:textId="67AB0AF0" w:rsidR="00B95441" w:rsidRDefault="00BA0707" w:rsidP="008312C5">
      <w:pPr>
        <w:rPr>
          <w:rFonts w:ascii="Calibri" w:eastAsia="Calibri" w:hAnsi="Calibri" w:cs="Calibri"/>
          <w:color w:val="000000"/>
          <w:sz w:val="22"/>
          <w:szCs w:val="22"/>
        </w:rPr>
      </w:pPr>
      <w:r w:rsidRPr="14162E0D">
        <w:rPr>
          <w:rFonts w:ascii="Calibri" w:eastAsia="Calibri" w:hAnsi="Calibri" w:cs="Calibri"/>
          <w:color w:val="000000" w:themeColor="text1"/>
          <w:sz w:val="22"/>
          <w:szCs w:val="22"/>
        </w:rPr>
        <w:t xml:space="preserve">As a recap, the objective of this case-based exchange is to describe complex </w:t>
      </w:r>
      <w:r w:rsidR="7AD382CB" w:rsidRPr="14162E0D">
        <w:rPr>
          <w:rFonts w:ascii="Calibri" w:eastAsia="Calibri" w:hAnsi="Calibri" w:cs="Calibri"/>
          <w:color w:val="000000" w:themeColor="text1"/>
          <w:sz w:val="22"/>
          <w:szCs w:val="22"/>
        </w:rPr>
        <w:t>a</w:t>
      </w:r>
      <w:r w:rsidRPr="14162E0D">
        <w:rPr>
          <w:rFonts w:ascii="Calibri" w:eastAsia="Calibri" w:hAnsi="Calibri" w:cs="Calibri"/>
          <w:color w:val="000000" w:themeColor="text1"/>
          <w:sz w:val="22"/>
          <w:szCs w:val="22"/>
        </w:rPr>
        <w:t xml:space="preserve">calabrutinib and </w:t>
      </w:r>
      <w:r w:rsidR="5E7968C7" w:rsidRPr="14162E0D">
        <w:rPr>
          <w:rFonts w:ascii="Calibri" w:eastAsia="Calibri" w:hAnsi="Calibri" w:cs="Calibri"/>
          <w:color w:val="000000" w:themeColor="text1"/>
          <w:sz w:val="22"/>
          <w:szCs w:val="22"/>
        </w:rPr>
        <w:t>v</w:t>
      </w:r>
      <w:r w:rsidRPr="14162E0D">
        <w:rPr>
          <w:rFonts w:ascii="Calibri" w:eastAsia="Calibri" w:hAnsi="Calibri" w:cs="Calibri"/>
          <w:color w:val="000000" w:themeColor="text1"/>
          <w:sz w:val="22"/>
          <w:szCs w:val="22"/>
        </w:rPr>
        <w:t xml:space="preserve">enetoclax dosing regimen utilizing treatment of patients with untreated chronic lymphocytic leukemia and shared common treatment-related AEs and best practices associated </w:t>
      </w:r>
      <w:r w:rsidR="3582CEAF" w:rsidRPr="14162E0D">
        <w:rPr>
          <w:rFonts w:ascii="Calibri" w:eastAsia="Calibri" w:hAnsi="Calibri" w:cs="Calibri"/>
          <w:color w:val="000000" w:themeColor="text1"/>
          <w:sz w:val="22"/>
          <w:szCs w:val="22"/>
        </w:rPr>
        <w:t xml:space="preserve">with </w:t>
      </w:r>
      <w:r w:rsidRPr="14162E0D">
        <w:rPr>
          <w:rFonts w:ascii="Calibri" w:eastAsia="Calibri" w:hAnsi="Calibri" w:cs="Calibri"/>
          <w:color w:val="000000" w:themeColor="text1"/>
          <w:sz w:val="22"/>
          <w:szCs w:val="22"/>
        </w:rPr>
        <w:t xml:space="preserve">management </w:t>
      </w:r>
      <w:r w:rsidR="0204D81E" w:rsidRPr="14162E0D">
        <w:rPr>
          <w:rFonts w:ascii="Calibri" w:eastAsia="Calibri" w:hAnsi="Calibri" w:cs="Calibri"/>
          <w:color w:val="000000" w:themeColor="text1"/>
          <w:sz w:val="22"/>
          <w:szCs w:val="22"/>
        </w:rPr>
        <w:t xml:space="preserve">of </w:t>
      </w:r>
      <w:r w:rsidRPr="14162E0D">
        <w:rPr>
          <w:rFonts w:ascii="Calibri" w:eastAsia="Calibri" w:hAnsi="Calibri" w:cs="Calibri"/>
          <w:color w:val="000000" w:themeColor="text1"/>
          <w:sz w:val="22"/>
          <w:szCs w:val="22"/>
        </w:rPr>
        <w:t>AEs with this regimen.</w:t>
      </w:r>
    </w:p>
    <w:p w14:paraId="5EFAC881" w14:textId="77777777" w:rsidR="008312C5" w:rsidRPr="008312C5" w:rsidRDefault="008312C5" w:rsidP="008312C5">
      <w:pPr>
        <w:rPr>
          <w:rFonts w:ascii="Calibri" w:eastAsia="Calibri" w:hAnsi="Calibri" w:cs="Calibri"/>
          <w:color w:val="000000"/>
          <w:sz w:val="22"/>
          <w:szCs w:val="22"/>
        </w:rPr>
      </w:pPr>
    </w:p>
    <w:p w14:paraId="3D890A7D" w14:textId="623E4DA4"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On </w:t>
      </w:r>
      <w:r w:rsidR="604BECE9" w:rsidRPr="14162E0D">
        <w:rPr>
          <w:rFonts w:ascii="Calibri" w:eastAsia="Calibri" w:hAnsi="Calibri" w:cs="Calibri"/>
          <w:color w:val="000000" w:themeColor="text1"/>
          <w:sz w:val="22"/>
          <w:szCs w:val="22"/>
        </w:rPr>
        <w:t>P</w:t>
      </w:r>
      <w:r w:rsidRPr="14162E0D">
        <w:rPr>
          <w:rFonts w:ascii="Calibri" w:eastAsia="Calibri" w:hAnsi="Calibri" w:cs="Calibri"/>
          <w:color w:val="000000" w:themeColor="text1"/>
          <w:sz w:val="22"/>
          <w:szCs w:val="22"/>
        </w:rPr>
        <w:t xml:space="preserve">art </w:t>
      </w:r>
      <w:r w:rsidR="6B38F2C8" w:rsidRPr="14162E0D">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 of this case-based exchange, we will focus on follow-up after initiation of treatment. As a recap, JS is a 66-year-old female who reported fatigue and significant weight loss of 64 pounds over the past year. On examination, she has significant palpable lymphadenopathy, which prompted a biopsy that confirmed the diagnosis of CLL. We also obtained a peripheral blood flow cytometry, which is a very sensitive test that confirmed the diagnosis of CLL. Therefore, she was referred for evaluation to the malignant hematology department.</w:t>
      </w:r>
    </w:p>
    <w:p w14:paraId="7A3C469A" w14:textId="77777777" w:rsidR="00B95441" w:rsidRDefault="00B95441" w:rsidP="008312C5">
      <w:pPr>
        <w:rPr>
          <w:rFonts w:ascii="Calibri" w:eastAsia="Calibri" w:hAnsi="Calibri" w:cs="Calibri"/>
          <w:color w:val="000000"/>
          <w:sz w:val="22"/>
        </w:rPr>
      </w:pPr>
    </w:p>
    <w:p w14:paraId="3D890A7F" w14:textId="31FAB69C" w:rsidR="00A77B3E" w:rsidRDefault="00BA0707" w:rsidP="008312C5">
      <w:pPr>
        <w:rPr>
          <w:rFonts w:ascii="Calibri" w:eastAsia="Calibri" w:hAnsi="Calibri" w:cs="Calibri"/>
          <w:color w:val="000000"/>
          <w:sz w:val="22"/>
          <w:szCs w:val="22"/>
        </w:rPr>
      </w:pPr>
      <w:r w:rsidRPr="14162E0D">
        <w:rPr>
          <w:rFonts w:ascii="Calibri" w:eastAsia="Calibri" w:hAnsi="Calibri" w:cs="Calibri"/>
          <w:color w:val="000000" w:themeColor="text1"/>
          <w:sz w:val="22"/>
          <w:szCs w:val="22"/>
        </w:rPr>
        <w:t xml:space="preserve">As I mentioned, JS presented with significant lymphadenopathy and B symptoms. Based on her cytogenetic testing and based on the </w:t>
      </w:r>
      <w:proofErr w:type="gramStart"/>
      <w:r w:rsidRPr="14162E0D">
        <w:rPr>
          <w:rFonts w:ascii="Calibri" w:eastAsia="Calibri" w:hAnsi="Calibri" w:cs="Calibri"/>
          <w:color w:val="000000" w:themeColor="text1"/>
          <w:sz w:val="22"/>
          <w:szCs w:val="22"/>
        </w:rPr>
        <w:t>patient</w:t>
      </w:r>
      <w:proofErr w:type="gramEnd"/>
      <w:r w:rsidRPr="14162E0D">
        <w:rPr>
          <w:rFonts w:ascii="Calibri" w:eastAsia="Calibri" w:hAnsi="Calibri" w:cs="Calibri"/>
          <w:color w:val="000000" w:themeColor="text1"/>
          <w:sz w:val="22"/>
          <w:szCs w:val="22"/>
        </w:rPr>
        <w:t xml:space="preserve"> preference, we decided to treat her with </w:t>
      </w:r>
      <w:proofErr w:type="gramStart"/>
      <w:r w:rsidRPr="14162E0D">
        <w:rPr>
          <w:rFonts w:ascii="Calibri" w:eastAsia="Calibri" w:hAnsi="Calibri" w:cs="Calibri"/>
          <w:color w:val="000000" w:themeColor="text1"/>
          <w:sz w:val="22"/>
          <w:szCs w:val="22"/>
        </w:rPr>
        <w:t>fixed</w:t>
      </w:r>
      <w:r w:rsidR="49782495" w:rsidRPr="14162E0D">
        <w:rPr>
          <w:rFonts w:ascii="Calibri" w:eastAsia="Calibri" w:hAnsi="Calibri" w:cs="Calibri"/>
          <w:color w:val="000000" w:themeColor="text1"/>
          <w:sz w:val="22"/>
          <w:szCs w:val="22"/>
        </w:rPr>
        <w:t>-</w:t>
      </w:r>
      <w:r w:rsidRPr="14162E0D">
        <w:rPr>
          <w:rFonts w:ascii="Calibri" w:eastAsia="Calibri" w:hAnsi="Calibri" w:cs="Calibri"/>
          <w:color w:val="000000" w:themeColor="text1"/>
          <w:sz w:val="22"/>
          <w:szCs w:val="22"/>
        </w:rPr>
        <w:t>duration</w:t>
      </w:r>
      <w:proofErr w:type="gramEnd"/>
      <w:r w:rsidRPr="14162E0D">
        <w:rPr>
          <w:rFonts w:ascii="Calibri" w:eastAsia="Calibri" w:hAnsi="Calibri" w:cs="Calibri"/>
          <w:color w:val="000000" w:themeColor="text1"/>
          <w:sz w:val="22"/>
          <w:szCs w:val="22"/>
        </w:rPr>
        <w:t xml:space="preserve"> acalabrutinib and venetoclax instead of continuous treatment with acalabrutinib.</w:t>
      </w:r>
    </w:p>
    <w:p w14:paraId="773CFD19" w14:textId="77777777" w:rsidR="00B95441" w:rsidRDefault="00B95441" w:rsidP="008312C5">
      <w:pPr>
        <w:rPr>
          <w:rFonts w:ascii="Calibri" w:eastAsia="Calibri" w:hAnsi="Calibri" w:cs="Calibri"/>
          <w:color w:val="000000"/>
          <w:sz w:val="22"/>
        </w:rPr>
      </w:pPr>
    </w:p>
    <w:p w14:paraId="3D890A81" w14:textId="2F0894B0" w:rsidR="00A77B3E" w:rsidRDefault="00BA0707" w:rsidP="008312C5">
      <w:pPr>
        <w:rPr>
          <w:rFonts w:ascii="Calibri" w:eastAsia="Calibri" w:hAnsi="Calibri" w:cs="Calibri"/>
          <w:color w:val="000000"/>
          <w:sz w:val="22"/>
          <w:szCs w:val="22"/>
        </w:rPr>
      </w:pPr>
      <w:r w:rsidRPr="14162E0D">
        <w:rPr>
          <w:rFonts w:ascii="Calibri" w:eastAsia="Calibri" w:hAnsi="Calibri" w:cs="Calibri"/>
          <w:color w:val="000000" w:themeColor="text1"/>
          <w:sz w:val="22"/>
          <w:szCs w:val="22"/>
        </w:rPr>
        <w:t xml:space="preserve">She has started treatment with acalabrutinib 100 milligrams </w:t>
      </w:r>
      <w:r w:rsidR="05948E68" w:rsidRPr="14162E0D">
        <w:rPr>
          <w:rFonts w:ascii="Calibri" w:eastAsia="Calibri" w:hAnsi="Calibri" w:cs="Calibri"/>
          <w:color w:val="000000" w:themeColor="text1"/>
          <w:sz w:val="22"/>
          <w:szCs w:val="22"/>
        </w:rPr>
        <w:t>B</w:t>
      </w:r>
      <w:r w:rsidRPr="14162E0D">
        <w:rPr>
          <w:rFonts w:ascii="Calibri" w:eastAsia="Calibri" w:hAnsi="Calibri" w:cs="Calibri"/>
          <w:color w:val="000000" w:themeColor="text1"/>
          <w:sz w:val="22"/>
          <w:szCs w:val="22"/>
        </w:rPr>
        <w:t xml:space="preserve">ID via </w:t>
      </w:r>
      <w:r w:rsidR="00065F8C">
        <w:rPr>
          <w:rFonts w:ascii="Calibri" w:eastAsia="Calibri" w:hAnsi="Calibri" w:cs="Calibri"/>
          <w:color w:val="000000" w:themeColor="text1"/>
          <w:sz w:val="22"/>
          <w:szCs w:val="22"/>
        </w:rPr>
        <w:t xml:space="preserve">a </w:t>
      </w:r>
      <w:r w:rsidRPr="14162E0D">
        <w:rPr>
          <w:rFonts w:ascii="Calibri" w:eastAsia="Calibri" w:hAnsi="Calibri" w:cs="Calibri"/>
          <w:color w:val="000000" w:themeColor="text1"/>
          <w:sz w:val="22"/>
          <w:szCs w:val="22"/>
        </w:rPr>
        <w:t xml:space="preserve">sample pack pending insurance authorization. We obtained a FISH, a </w:t>
      </w:r>
      <w:proofErr w:type="spellStart"/>
      <w:r w:rsidRPr="14162E0D">
        <w:rPr>
          <w:rFonts w:ascii="Calibri" w:eastAsia="Calibri" w:hAnsi="Calibri" w:cs="Calibri"/>
          <w:color w:val="000000" w:themeColor="text1"/>
          <w:sz w:val="22"/>
          <w:szCs w:val="22"/>
        </w:rPr>
        <w:t>ClonoSeq</w:t>
      </w:r>
      <w:proofErr w:type="spellEnd"/>
      <w:r w:rsidRPr="14162E0D">
        <w:rPr>
          <w:rFonts w:ascii="Calibri" w:eastAsia="Calibri" w:hAnsi="Calibri" w:cs="Calibri"/>
          <w:color w:val="000000" w:themeColor="text1"/>
          <w:sz w:val="22"/>
          <w:szCs w:val="22"/>
        </w:rPr>
        <w:t xml:space="preserve"> for </w:t>
      </w:r>
      <w:proofErr w:type="spellStart"/>
      <w:r w:rsidRPr="14162E0D">
        <w:rPr>
          <w:rFonts w:ascii="Calibri" w:eastAsia="Calibri" w:hAnsi="Calibri" w:cs="Calibri"/>
          <w:color w:val="000000" w:themeColor="text1"/>
          <w:sz w:val="22"/>
          <w:szCs w:val="22"/>
        </w:rPr>
        <w:t>IgHV</w:t>
      </w:r>
      <w:proofErr w:type="spellEnd"/>
      <w:r w:rsidRPr="14162E0D">
        <w:rPr>
          <w:rFonts w:ascii="Calibri" w:eastAsia="Calibri" w:hAnsi="Calibri" w:cs="Calibri"/>
          <w:color w:val="000000" w:themeColor="text1"/>
          <w:sz w:val="22"/>
          <w:szCs w:val="22"/>
        </w:rPr>
        <w:t xml:space="preserve"> mutational status</w:t>
      </w:r>
      <w:r w:rsidR="009B69F5">
        <w:rPr>
          <w:rFonts w:ascii="Calibri" w:eastAsia="Calibri" w:hAnsi="Calibri" w:cs="Calibri"/>
          <w:color w:val="000000" w:themeColor="text1"/>
          <w:sz w:val="22"/>
          <w:szCs w:val="22"/>
        </w:rPr>
        <w:t>,</w:t>
      </w:r>
      <w:r w:rsidRPr="14162E0D">
        <w:rPr>
          <w:rFonts w:ascii="Calibri" w:eastAsia="Calibri" w:hAnsi="Calibri" w:cs="Calibri"/>
          <w:color w:val="000000" w:themeColor="text1"/>
          <w:sz w:val="22"/>
          <w:szCs w:val="22"/>
        </w:rPr>
        <w:t xml:space="preserve"> and </w:t>
      </w:r>
      <w:r w:rsidRPr="00B95441">
        <w:rPr>
          <w:rFonts w:ascii="Calibri" w:eastAsia="Calibri" w:hAnsi="Calibri" w:cs="Calibri"/>
          <w:i/>
          <w:iCs/>
          <w:color w:val="000000" w:themeColor="text1"/>
          <w:sz w:val="22"/>
          <w:szCs w:val="22"/>
        </w:rPr>
        <w:t>TP53</w:t>
      </w:r>
      <w:r w:rsidRPr="14162E0D">
        <w:rPr>
          <w:rFonts w:ascii="Calibri" w:eastAsia="Calibri" w:hAnsi="Calibri" w:cs="Calibri"/>
          <w:color w:val="000000" w:themeColor="text1"/>
          <w:sz w:val="22"/>
          <w:szCs w:val="22"/>
        </w:rPr>
        <w:t xml:space="preserve"> mutation was requested as well.</w:t>
      </w:r>
    </w:p>
    <w:p w14:paraId="2BF22CEC" w14:textId="77777777" w:rsidR="00B95441" w:rsidRDefault="00B95441" w:rsidP="008312C5">
      <w:pPr>
        <w:rPr>
          <w:rFonts w:ascii="Calibri" w:eastAsia="Calibri" w:hAnsi="Calibri" w:cs="Calibri"/>
          <w:color w:val="000000"/>
          <w:sz w:val="22"/>
        </w:rPr>
      </w:pPr>
    </w:p>
    <w:p w14:paraId="3D890A83" w14:textId="41F69656"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JS, she presents for her </w:t>
      </w:r>
      <w:r w:rsidR="179CE299" w:rsidRPr="14162E0D">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-week follow-up after initiation of acalabrutinib. She tolerated treatment very well after </w:t>
      </w:r>
      <w:r w:rsidR="0025588A">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 weeks except for intermittent headaches, which improved with caffeine. Headache is a very common side effect of acalabrutinib. </w:t>
      </w:r>
      <w:proofErr w:type="gramStart"/>
      <w:r w:rsidRPr="14162E0D">
        <w:rPr>
          <w:rFonts w:ascii="Calibri" w:eastAsia="Calibri" w:hAnsi="Calibri" w:cs="Calibri"/>
          <w:color w:val="000000" w:themeColor="text1"/>
          <w:sz w:val="22"/>
          <w:szCs w:val="22"/>
        </w:rPr>
        <w:t>Usually</w:t>
      </w:r>
      <w:proofErr w:type="gramEnd"/>
      <w:r w:rsidRPr="14162E0D">
        <w:rPr>
          <w:rFonts w:ascii="Calibri" w:eastAsia="Calibri" w:hAnsi="Calibri" w:cs="Calibri"/>
          <w:color w:val="000000" w:themeColor="text1"/>
          <w:sz w:val="22"/>
          <w:szCs w:val="22"/>
        </w:rPr>
        <w:t xml:space="preserve"> it </w:t>
      </w:r>
      <w:proofErr w:type="gramStart"/>
      <w:r w:rsidRPr="14162E0D">
        <w:rPr>
          <w:rFonts w:ascii="Calibri" w:eastAsia="Calibri" w:hAnsi="Calibri" w:cs="Calibri"/>
          <w:color w:val="000000" w:themeColor="text1"/>
          <w:sz w:val="22"/>
          <w:szCs w:val="22"/>
        </w:rPr>
        <w:t>presents</w:t>
      </w:r>
      <w:proofErr w:type="gramEnd"/>
      <w:r w:rsidRPr="14162E0D">
        <w:rPr>
          <w:rFonts w:ascii="Calibri" w:eastAsia="Calibri" w:hAnsi="Calibri" w:cs="Calibri"/>
          <w:color w:val="000000" w:themeColor="text1"/>
          <w:sz w:val="22"/>
          <w:szCs w:val="22"/>
        </w:rPr>
        <w:t xml:space="preserve"> at the first </w:t>
      </w:r>
      <w:r w:rsidR="7E35FFB3" w:rsidRPr="14162E0D">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 weeks of initiation of treatment, and then usually that symptom </w:t>
      </w:r>
      <w:r w:rsidR="52846A6E" w:rsidRPr="14162E0D">
        <w:rPr>
          <w:rFonts w:ascii="Calibri" w:eastAsia="Calibri" w:hAnsi="Calibri" w:cs="Calibri"/>
          <w:color w:val="000000" w:themeColor="text1"/>
          <w:sz w:val="22"/>
          <w:szCs w:val="22"/>
        </w:rPr>
        <w:t xml:space="preserve">is </w:t>
      </w:r>
      <w:r w:rsidRPr="14162E0D">
        <w:rPr>
          <w:rFonts w:ascii="Calibri" w:eastAsia="Calibri" w:hAnsi="Calibri" w:cs="Calibri"/>
          <w:color w:val="000000" w:themeColor="text1"/>
          <w:sz w:val="22"/>
          <w:szCs w:val="22"/>
        </w:rPr>
        <w:t>resolved with caffeine or Tylenol.</w:t>
      </w:r>
    </w:p>
    <w:p w14:paraId="0987B6DF" w14:textId="77777777" w:rsidR="008312C5" w:rsidRDefault="008312C5" w:rsidP="008312C5">
      <w:pPr>
        <w:rPr>
          <w:rFonts w:ascii="Calibri" w:eastAsia="Calibri" w:hAnsi="Calibri" w:cs="Calibri"/>
          <w:color w:val="000000" w:themeColor="text1"/>
          <w:sz w:val="22"/>
          <w:szCs w:val="22"/>
        </w:rPr>
      </w:pPr>
    </w:p>
    <w:p w14:paraId="0DBFF916" w14:textId="77777777" w:rsidR="00B95441" w:rsidRPr="00B95441" w:rsidRDefault="00B95441" w:rsidP="008312C5">
      <w:pPr>
        <w:rPr>
          <w:rFonts w:ascii="Calibri" w:eastAsia="Calibri" w:hAnsi="Calibri" w:cs="Calibri"/>
          <w:b/>
          <w:bCs/>
          <w:color w:val="000000"/>
          <w:sz w:val="22"/>
        </w:rPr>
      </w:pPr>
      <w:r w:rsidRPr="00B95441">
        <w:rPr>
          <w:rFonts w:ascii="Calibri" w:eastAsia="Calibri" w:hAnsi="Calibri" w:cs="Calibri"/>
          <w:b/>
          <w:bCs/>
          <w:color w:val="000000"/>
          <w:sz w:val="22"/>
        </w:rPr>
        <w:t>Mary DiLorenzo</w:t>
      </w:r>
      <w:r>
        <w:rPr>
          <w:rFonts w:ascii="Calibri" w:eastAsia="Calibri" w:hAnsi="Calibri" w:cs="Calibri"/>
          <w:b/>
          <w:bCs/>
          <w:color w:val="000000"/>
          <w:sz w:val="22"/>
        </w:rPr>
        <w:t>:</w:t>
      </w:r>
    </w:p>
    <w:p w14:paraId="3D890A85" w14:textId="2ABC1D55"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Similarly, what I see as well, Jamila, we always tell patients upfront, expect those headaches for the first </w:t>
      </w:r>
      <w:r w:rsidR="07169CA9" w:rsidRPr="14162E0D">
        <w:rPr>
          <w:rFonts w:ascii="Calibri" w:eastAsia="Calibri" w:hAnsi="Calibri" w:cs="Calibri"/>
          <w:color w:val="000000" w:themeColor="text1"/>
          <w:sz w:val="22"/>
          <w:szCs w:val="22"/>
        </w:rPr>
        <w:t>2</w:t>
      </w:r>
      <w:r w:rsidRPr="14162E0D">
        <w:rPr>
          <w:rFonts w:ascii="Calibri" w:eastAsia="Calibri" w:hAnsi="Calibri" w:cs="Calibri"/>
          <w:color w:val="000000" w:themeColor="text1"/>
          <w:sz w:val="22"/>
          <w:szCs w:val="22"/>
        </w:rPr>
        <w:t xml:space="preserve"> to </w:t>
      </w:r>
      <w:r w:rsidR="44DACCDD" w:rsidRPr="14162E0D">
        <w:rPr>
          <w:rFonts w:ascii="Calibri" w:eastAsia="Calibri" w:hAnsi="Calibri" w:cs="Calibri"/>
          <w:color w:val="000000" w:themeColor="text1"/>
          <w:sz w:val="22"/>
          <w:szCs w:val="22"/>
        </w:rPr>
        <w:t>4</w:t>
      </w:r>
      <w:r w:rsidR="00305735">
        <w:rPr>
          <w:rFonts w:ascii="Calibri" w:eastAsia="Calibri" w:hAnsi="Calibri" w:cs="Calibri"/>
          <w:color w:val="000000" w:themeColor="text1"/>
          <w:sz w:val="22"/>
          <w:szCs w:val="22"/>
        </w:rPr>
        <w:t xml:space="preserve"> </w:t>
      </w:r>
      <w:r w:rsidRPr="14162E0D">
        <w:rPr>
          <w:rFonts w:ascii="Calibri" w:eastAsia="Calibri" w:hAnsi="Calibri" w:cs="Calibri"/>
          <w:color w:val="000000" w:themeColor="text1"/>
          <w:sz w:val="22"/>
          <w:szCs w:val="22"/>
        </w:rPr>
        <w:t xml:space="preserve">weeks, but they'll get better and probably completely resolve, and it just goes back to what we always say in the nursing world and even in the medical world, </w:t>
      </w:r>
      <w:r w:rsidR="00DE1098">
        <w:rPr>
          <w:rFonts w:ascii="Calibri" w:eastAsia="Calibri" w:hAnsi="Calibri" w:cs="Calibri"/>
          <w:color w:val="000000" w:themeColor="text1"/>
          <w:sz w:val="22"/>
          <w:szCs w:val="22"/>
        </w:rPr>
        <w:t xml:space="preserve">the </w:t>
      </w:r>
      <w:r w:rsidRPr="14162E0D">
        <w:rPr>
          <w:rFonts w:ascii="Calibri" w:eastAsia="Calibri" w:hAnsi="Calibri" w:cs="Calibri"/>
          <w:color w:val="000000" w:themeColor="text1"/>
          <w:sz w:val="22"/>
          <w:szCs w:val="22"/>
        </w:rPr>
        <w:t>more information to the patient, the better</w:t>
      </w:r>
      <w:r w:rsidR="59BAFF21" w:rsidRPr="14162E0D">
        <w:rPr>
          <w:rFonts w:ascii="Calibri" w:eastAsia="Calibri" w:hAnsi="Calibri" w:cs="Calibri"/>
          <w:color w:val="000000" w:themeColor="text1"/>
          <w:sz w:val="22"/>
          <w:szCs w:val="22"/>
        </w:rPr>
        <w:t>, right?</w:t>
      </w:r>
      <w:r w:rsidRPr="14162E0D">
        <w:rPr>
          <w:rFonts w:ascii="Calibri" w:eastAsia="Calibri" w:hAnsi="Calibri" w:cs="Calibri"/>
          <w:color w:val="000000" w:themeColor="text1"/>
          <w:sz w:val="22"/>
          <w:szCs w:val="22"/>
        </w:rPr>
        <w:t xml:space="preserve"> So if we talk to these patients upfront and we're open and honest with them about potential side effects, it really does allow them to feel confident that they're going to be able to stay on treatment, because we're listening to them and we can dose</w:t>
      </w:r>
      <w:r w:rsidR="0A443094" w:rsidRPr="14162E0D">
        <w:rPr>
          <w:rFonts w:ascii="Calibri" w:eastAsia="Calibri" w:hAnsi="Calibri" w:cs="Calibri"/>
          <w:color w:val="000000" w:themeColor="text1"/>
          <w:sz w:val="22"/>
          <w:szCs w:val="22"/>
        </w:rPr>
        <w:t>-</w:t>
      </w:r>
      <w:r w:rsidRPr="14162E0D">
        <w:rPr>
          <w:rFonts w:ascii="Calibri" w:eastAsia="Calibri" w:hAnsi="Calibri" w:cs="Calibri"/>
          <w:color w:val="000000" w:themeColor="text1"/>
          <w:sz w:val="22"/>
          <w:szCs w:val="22"/>
        </w:rPr>
        <w:t>adjust or at the very least, have a conversation with them about how to make them feel better to get them through the regimen completely.</w:t>
      </w:r>
    </w:p>
    <w:p w14:paraId="4951C3D1" w14:textId="77777777" w:rsidR="008312C5" w:rsidRDefault="008312C5" w:rsidP="008312C5">
      <w:pPr>
        <w:rPr>
          <w:rFonts w:ascii="Calibri" w:eastAsia="Calibri" w:hAnsi="Calibri" w:cs="Calibri"/>
          <w:color w:val="000000" w:themeColor="text1"/>
          <w:sz w:val="22"/>
          <w:szCs w:val="22"/>
        </w:rPr>
      </w:pPr>
    </w:p>
    <w:p w14:paraId="4FECD13D" w14:textId="77777777" w:rsidR="00B95441" w:rsidRPr="00B95441" w:rsidRDefault="00B95441" w:rsidP="008312C5">
      <w:pPr>
        <w:rPr>
          <w:rFonts w:ascii="Calibri" w:eastAsia="Calibri" w:hAnsi="Calibri" w:cs="Calibri"/>
          <w:b/>
          <w:bCs/>
          <w:color w:val="000000"/>
          <w:sz w:val="22"/>
        </w:rPr>
      </w:pPr>
      <w:r w:rsidRPr="00B95441">
        <w:rPr>
          <w:rFonts w:ascii="Calibri" w:eastAsia="Calibri" w:hAnsi="Calibri" w:cs="Calibri"/>
          <w:b/>
          <w:bCs/>
          <w:color w:val="000000"/>
          <w:sz w:val="22"/>
        </w:rPr>
        <w:lastRenderedPageBreak/>
        <w:t>Jamila Brutus</w:t>
      </w:r>
      <w:r>
        <w:rPr>
          <w:rFonts w:ascii="Calibri" w:eastAsia="Calibri" w:hAnsi="Calibri" w:cs="Calibri"/>
          <w:b/>
          <w:bCs/>
          <w:color w:val="000000"/>
          <w:sz w:val="22"/>
        </w:rPr>
        <w:t>:</w:t>
      </w:r>
    </w:p>
    <w:p w14:paraId="3D890A87" w14:textId="50133BB1"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Agreed. In JS, she started treatment with acalabrutinib </w:t>
      </w:r>
      <w:r w:rsidR="11D5F1C5" w:rsidRPr="14162E0D">
        <w:rPr>
          <w:rFonts w:ascii="Calibri" w:eastAsia="Calibri" w:hAnsi="Calibri" w:cs="Calibri"/>
          <w:color w:val="000000" w:themeColor="text1"/>
          <w:sz w:val="22"/>
          <w:szCs w:val="22"/>
        </w:rPr>
        <w:t xml:space="preserve">100 </w:t>
      </w:r>
      <w:r w:rsidRPr="14162E0D">
        <w:rPr>
          <w:rFonts w:ascii="Calibri" w:eastAsia="Calibri" w:hAnsi="Calibri" w:cs="Calibri"/>
          <w:color w:val="000000" w:themeColor="text1"/>
          <w:sz w:val="22"/>
          <w:szCs w:val="22"/>
        </w:rPr>
        <w:t xml:space="preserve">milligrams BID for the first </w:t>
      </w:r>
      <w:r w:rsidR="1385A636" w:rsidRPr="14162E0D">
        <w:rPr>
          <w:rFonts w:ascii="Calibri" w:eastAsia="Calibri" w:hAnsi="Calibri" w:cs="Calibri"/>
          <w:color w:val="000000" w:themeColor="text1"/>
          <w:sz w:val="22"/>
          <w:szCs w:val="22"/>
        </w:rPr>
        <w:t>3</w:t>
      </w:r>
      <w:r w:rsidRPr="14162E0D">
        <w:rPr>
          <w:rFonts w:ascii="Calibri" w:eastAsia="Calibri" w:hAnsi="Calibri" w:cs="Calibri"/>
          <w:color w:val="000000" w:themeColor="text1"/>
          <w:sz w:val="22"/>
          <w:szCs w:val="22"/>
        </w:rPr>
        <w:t xml:space="preserve"> months with plans to add venetoclax to her treatment regimen. The reason why acalabrutinib is usually given prior to venetoclax is to debulk the patients, because the higher disease you have, the more your risk for tumor lysis with venetoclax.</w:t>
      </w:r>
    </w:p>
    <w:p w14:paraId="158377AA" w14:textId="77777777" w:rsidR="00B95441" w:rsidRDefault="00B95441" w:rsidP="008312C5">
      <w:pPr>
        <w:rPr>
          <w:rFonts w:ascii="Calibri" w:eastAsia="Calibri" w:hAnsi="Calibri" w:cs="Calibri"/>
          <w:color w:val="000000"/>
          <w:sz w:val="22"/>
        </w:rPr>
      </w:pPr>
    </w:p>
    <w:p w14:paraId="3D890A89" w14:textId="10A14291"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Now JS is here for her </w:t>
      </w:r>
      <w:r w:rsidR="5A11CFE5" w:rsidRPr="14162E0D">
        <w:rPr>
          <w:rFonts w:ascii="Calibri" w:eastAsia="Calibri" w:hAnsi="Calibri" w:cs="Calibri"/>
          <w:color w:val="000000" w:themeColor="text1"/>
          <w:sz w:val="22"/>
          <w:szCs w:val="22"/>
        </w:rPr>
        <w:t>3</w:t>
      </w:r>
      <w:r w:rsidRPr="14162E0D">
        <w:rPr>
          <w:rFonts w:ascii="Calibri" w:eastAsia="Calibri" w:hAnsi="Calibri" w:cs="Calibri"/>
          <w:color w:val="000000" w:themeColor="text1"/>
          <w:sz w:val="22"/>
          <w:szCs w:val="22"/>
        </w:rPr>
        <w:t xml:space="preserve">-month follow-up. JS received her first dose of acalabrutinib started in cycle </w:t>
      </w:r>
      <w:r w:rsidR="0DBC8690" w:rsidRPr="14162E0D">
        <w:rPr>
          <w:rFonts w:ascii="Calibri" w:eastAsia="Calibri" w:hAnsi="Calibri" w:cs="Calibri"/>
          <w:color w:val="000000" w:themeColor="text1"/>
          <w:sz w:val="22"/>
          <w:szCs w:val="22"/>
        </w:rPr>
        <w:t>1</w:t>
      </w:r>
      <w:r w:rsidRPr="14162E0D">
        <w:rPr>
          <w:rFonts w:ascii="Calibri" w:eastAsia="Calibri" w:hAnsi="Calibri" w:cs="Calibri"/>
          <w:color w:val="000000" w:themeColor="text1"/>
          <w:sz w:val="22"/>
          <w:szCs w:val="22"/>
        </w:rPr>
        <w:t xml:space="preserve"> in October, and her first dose of venetoclax started in cycle </w:t>
      </w:r>
      <w:r w:rsidR="5453A9B6" w:rsidRPr="14162E0D">
        <w:rPr>
          <w:rFonts w:ascii="Calibri" w:eastAsia="Calibri" w:hAnsi="Calibri" w:cs="Calibri"/>
          <w:color w:val="000000" w:themeColor="text1"/>
          <w:sz w:val="22"/>
          <w:szCs w:val="22"/>
        </w:rPr>
        <w:t>3</w:t>
      </w:r>
      <w:r w:rsidRPr="14162E0D">
        <w:rPr>
          <w:rFonts w:ascii="Calibri" w:eastAsia="Calibri" w:hAnsi="Calibri" w:cs="Calibri"/>
          <w:color w:val="000000" w:themeColor="text1"/>
          <w:sz w:val="22"/>
          <w:szCs w:val="22"/>
        </w:rPr>
        <w:t xml:space="preserve"> in December. Venetoclax is usually given as a </w:t>
      </w:r>
      <w:r w:rsidR="2BBD0C27" w:rsidRPr="14162E0D">
        <w:rPr>
          <w:rFonts w:ascii="Calibri" w:eastAsia="Calibri" w:hAnsi="Calibri" w:cs="Calibri"/>
          <w:color w:val="000000" w:themeColor="text1"/>
          <w:sz w:val="22"/>
          <w:szCs w:val="22"/>
        </w:rPr>
        <w:t>5</w:t>
      </w:r>
      <w:r w:rsidRPr="14162E0D">
        <w:rPr>
          <w:rFonts w:ascii="Calibri" w:eastAsia="Calibri" w:hAnsi="Calibri" w:cs="Calibri"/>
          <w:color w:val="000000" w:themeColor="text1"/>
          <w:sz w:val="22"/>
          <w:szCs w:val="22"/>
        </w:rPr>
        <w:t xml:space="preserve">-week wrap-up period, and the reason for that is with venetoclax, you're at high risk for what's called tumor lysis syndrome. So </w:t>
      </w:r>
      <w:proofErr w:type="gramStart"/>
      <w:r w:rsidRPr="14162E0D">
        <w:rPr>
          <w:rFonts w:ascii="Calibri" w:eastAsia="Calibri" w:hAnsi="Calibri" w:cs="Calibri"/>
          <w:color w:val="000000" w:themeColor="text1"/>
          <w:sz w:val="22"/>
          <w:szCs w:val="22"/>
        </w:rPr>
        <w:t>usually</w:t>
      </w:r>
      <w:proofErr w:type="gramEnd"/>
      <w:r w:rsidRPr="14162E0D">
        <w:rPr>
          <w:rFonts w:ascii="Calibri" w:eastAsia="Calibri" w:hAnsi="Calibri" w:cs="Calibri"/>
          <w:color w:val="000000" w:themeColor="text1"/>
          <w:sz w:val="22"/>
          <w:szCs w:val="22"/>
        </w:rPr>
        <w:t xml:space="preserve"> venetoclax is given</w:t>
      </w:r>
      <w:r w:rsidR="79DAD5E9" w:rsidRPr="14162E0D">
        <w:rPr>
          <w:rFonts w:ascii="Calibri" w:eastAsia="Calibri" w:hAnsi="Calibri" w:cs="Calibri"/>
          <w:color w:val="000000" w:themeColor="text1"/>
          <w:sz w:val="22"/>
          <w:szCs w:val="22"/>
        </w:rPr>
        <w:t xml:space="preserve"> the</w:t>
      </w:r>
      <w:r w:rsidRPr="14162E0D">
        <w:rPr>
          <w:rFonts w:ascii="Calibri" w:eastAsia="Calibri" w:hAnsi="Calibri" w:cs="Calibri"/>
          <w:color w:val="000000" w:themeColor="text1"/>
          <w:sz w:val="22"/>
          <w:szCs w:val="22"/>
        </w:rPr>
        <w:t xml:space="preserve"> first week, we start a very low dose, which is 20 milligrams, second week, 50 milligrams. Third week, we escalate to 100 milligrams. The fourth week we go to 200, and the final week, which is your fifth week, we go to 400 milligrams, which is the max dose, and patients remain on that medication.</w:t>
      </w:r>
    </w:p>
    <w:p w14:paraId="1F20A853" w14:textId="77777777" w:rsidR="00B95441" w:rsidRDefault="00B95441" w:rsidP="008312C5">
      <w:pPr>
        <w:rPr>
          <w:rFonts w:ascii="Calibri" w:eastAsia="Calibri" w:hAnsi="Calibri" w:cs="Calibri"/>
          <w:color w:val="000000"/>
          <w:sz w:val="22"/>
        </w:rPr>
      </w:pPr>
    </w:p>
    <w:p w14:paraId="3D890A8B" w14:textId="35412477" w:rsidR="00A77B3E" w:rsidRDefault="00BA0707" w:rsidP="008312C5">
      <w:pPr>
        <w:rPr>
          <w:rFonts w:ascii="Calibri" w:eastAsia="Calibri" w:hAnsi="Calibri" w:cs="Calibri"/>
          <w:color w:val="000000" w:themeColor="text1"/>
          <w:sz w:val="22"/>
          <w:szCs w:val="22"/>
        </w:rPr>
      </w:pPr>
      <w:r w:rsidRPr="14162E0D">
        <w:rPr>
          <w:rFonts w:ascii="Calibri" w:eastAsia="Calibri" w:hAnsi="Calibri" w:cs="Calibri"/>
          <w:color w:val="000000" w:themeColor="text1"/>
          <w:sz w:val="22"/>
          <w:szCs w:val="22"/>
        </w:rPr>
        <w:t xml:space="preserve">The reason why we usually start very low, again, is to mitigate the risk of tumor lysis, which can be very life-threatening, but the good thing about this regimen is we usually give acalabrutinib first. </w:t>
      </w:r>
      <w:proofErr w:type="gramStart"/>
      <w:r w:rsidRPr="14162E0D">
        <w:rPr>
          <w:rFonts w:ascii="Calibri" w:eastAsia="Calibri" w:hAnsi="Calibri" w:cs="Calibri"/>
          <w:color w:val="000000" w:themeColor="text1"/>
          <w:sz w:val="22"/>
          <w:szCs w:val="22"/>
        </w:rPr>
        <w:t>So</w:t>
      </w:r>
      <w:proofErr w:type="gramEnd"/>
      <w:r w:rsidRPr="14162E0D">
        <w:rPr>
          <w:rFonts w:ascii="Calibri" w:eastAsia="Calibri" w:hAnsi="Calibri" w:cs="Calibri"/>
          <w:color w:val="000000" w:themeColor="text1"/>
          <w:sz w:val="22"/>
          <w:szCs w:val="22"/>
        </w:rPr>
        <w:t xml:space="preserve"> by the time patients start </w:t>
      </w:r>
      <w:r w:rsidR="0F6A85D0" w:rsidRPr="14162E0D">
        <w:rPr>
          <w:rFonts w:ascii="Calibri" w:eastAsia="Calibri" w:hAnsi="Calibri" w:cs="Calibri"/>
          <w:color w:val="000000" w:themeColor="text1"/>
          <w:sz w:val="22"/>
          <w:szCs w:val="22"/>
        </w:rPr>
        <w:t>v</w:t>
      </w:r>
      <w:r w:rsidRPr="14162E0D">
        <w:rPr>
          <w:rFonts w:ascii="Calibri" w:eastAsia="Calibri" w:hAnsi="Calibri" w:cs="Calibri"/>
          <w:color w:val="000000" w:themeColor="text1"/>
          <w:sz w:val="22"/>
          <w:szCs w:val="22"/>
        </w:rPr>
        <w:t xml:space="preserve">enetoclax, the risk for tumor lysis is extremely, extremely low and very well tolerated. This regimen is usually given over 14 </w:t>
      </w:r>
      <w:proofErr w:type="gramStart"/>
      <w:r w:rsidRPr="14162E0D">
        <w:rPr>
          <w:rFonts w:ascii="Calibri" w:eastAsia="Calibri" w:hAnsi="Calibri" w:cs="Calibri"/>
          <w:color w:val="000000" w:themeColor="text1"/>
          <w:sz w:val="22"/>
          <w:szCs w:val="22"/>
        </w:rPr>
        <w:t>cycles</w:t>
      </w:r>
      <w:proofErr w:type="gramEnd"/>
      <w:r w:rsidRPr="14162E0D">
        <w:rPr>
          <w:rFonts w:ascii="Calibri" w:eastAsia="Calibri" w:hAnsi="Calibri" w:cs="Calibri"/>
          <w:color w:val="000000" w:themeColor="text1"/>
          <w:sz w:val="22"/>
          <w:szCs w:val="22"/>
        </w:rPr>
        <w:t xml:space="preserve"> and each cycle is considered a 28-day course.</w:t>
      </w:r>
    </w:p>
    <w:p w14:paraId="73341136" w14:textId="77777777" w:rsidR="008312C5" w:rsidRDefault="008312C5" w:rsidP="008312C5">
      <w:pPr>
        <w:rPr>
          <w:rFonts w:ascii="Calibri" w:eastAsia="Calibri" w:hAnsi="Calibri" w:cs="Calibri"/>
          <w:color w:val="000000" w:themeColor="text1"/>
          <w:sz w:val="22"/>
          <w:szCs w:val="22"/>
        </w:rPr>
      </w:pPr>
    </w:p>
    <w:p w14:paraId="003D07A0" w14:textId="77777777" w:rsidR="00B95441" w:rsidRPr="00B95441" w:rsidRDefault="00B95441" w:rsidP="008312C5">
      <w:pPr>
        <w:rPr>
          <w:rFonts w:ascii="Calibri" w:eastAsia="Calibri" w:hAnsi="Calibri" w:cs="Calibri"/>
          <w:b/>
          <w:bCs/>
          <w:color w:val="000000"/>
          <w:sz w:val="22"/>
        </w:rPr>
      </w:pPr>
      <w:r w:rsidRPr="00B95441">
        <w:rPr>
          <w:rFonts w:ascii="Calibri" w:eastAsia="Calibri" w:hAnsi="Calibri" w:cs="Calibri"/>
          <w:b/>
          <w:bCs/>
          <w:color w:val="000000"/>
          <w:sz w:val="22"/>
        </w:rPr>
        <w:t>Mary DiLorenzo</w:t>
      </w:r>
      <w:r>
        <w:rPr>
          <w:rFonts w:ascii="Calibri" w:eastAsia="Calibri" w:hAnsi="Calibri" w:cs="Calibri"/>
          <w:b/>
          <w:bCs/>
          <w:color w:val="000000"/>
          <w:sz w:val="22"/>
        </w:rPr>
        <w:t>:</w:t>
      </w:r>
    </w:p>
    <w:p w14:paraId="3D890A8D" w14:textId="71AFB87F" w:rsidR="00A77B3E" w:rsidRDefault="00BA0707" w:rsidP="008312C5">
      <w:pPr>
        <w:rPr>
          <w:rFonts w:ascii="Calibri" w:eastAsia="Calibri" w:hAnsi="Calibri" w:cs="Calibri"/>
          <w:color w:val="000000"/>
          <w:sz w:val="22"/>
        </w:rPr>
      </w:pPr>
      <w:r>
        <w:rPr>
          <w:rFonts w:ascii="Calibri" w:eastAsia="Calibri" w:hAnsi="Calibri" w:cs="Calibri"/>
          <w:color w:val="000000"/>
          <w:sz w:val="22"/>
        </w:rPr>
        <w:t xml:space="preserve">Thank you for joining us for part </w:t>
      </w:r>
      <w:r w:rsidR="00BE7C4A">
        <w:rPr>
          <w:rFonts w:ascii="Calibri" w:eastAsia="Calibri" w:hAnsi="Calibri" w:cs="Calibri"/>
          <w:color w:val="000000"/>
          <w:sz w:val="22"/>
        </w:rPr>
        <w:t>2</w:t>
      </w:r>
      <w:r>
        <w:rPr>
          <w:rFonts w:ascii="Calibri" w:eastAsia="Calibri" w:hAnsi="Calibri" w:cs="Calibri"/>
          <w:color w:val="000000"/>
          <w:sz w:val="22"/>
        </w:rPr>
        <w:t xml:space="preserve"> of this case-based exchange. Please join us for part </w:t>
      </w:r>
      <w:r w:rsidR="00D30FF0">
        <w:rPr>
          <w:rFonts w:ascii="Calibri" w:eastAsia="Calibri" w:hAnsi="Calibri" w:cs="Calibri"/>
          <w:color w:val="000000"/>
          <w:sz w:val="22"/>
        </w:rPr>
        <w:t>3</w:t>
      </w:r>
      <w:r>
        <w:rPr>
          <w:rFonts w:ascii="Calibri" w:eastAsia="Calibri" w:hAnsi="Calibri" w:cs="Calibri"/>
          <w:color w:val="000000"/>
          <w:sz w:val="22"/>
        </w:rPr>
        <w:t xml:space="preserve"> where we will focus on AE management with AV.</w:t>
      </w:r>
    </w:p>
    <w:p w14:paraId="3D890A8E" w14:textId="77777777" w:rsidR="00A77B3E" w:rsidRDefault="00A77B3E" w:rsidP="008312C5">
      <w:pPr>
        <w:rPr>
          <w:rFonts w:ascii="Calibri" w:eastAsia="Calibri" w:hAnsi="Calibri" w:cs="Calibri"/>
          <w:color w:val="000000"/>
          <w:sz w:val="22"/>
        </w:rPr>
      </w:pPr>
    </w:p>
    <w:sectPr w:rsidR="00A77B3E" w:rsidSect="0014307E">
      <w:headerReference w:type="default" r:id="rId9"/>
      <w:pgSz w:w="12240" w:h="15840"/>
      <w:pgMar w:top="1440" w:right="1440" w:bottom="117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DD1D0" w14:textId="77777777" w:rsidR="00486FD5" w:rsidRDefault="00486FD5">
      <w:r>
        <w:separator/>
      </w:r>
    </w:p>
  </w:endnote>
  <w:endnote w:type="continuationSeparator" w:id="0">
    <w:p w14:paraId="0D6AB3E3" w14:textId="77777777" w:rsidR="00486FD5" w:rsidRDefault="0048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879B" w14:textId="77777777" w:rsidR="00486FD5" w:rsidRDefault="00486FD5">
      <w:r>
        <w:separator/>
      </w:r>
    </w:p>
  </w:footnote>
  <w:footnote w:type="continuationSeparator" w:id="0">
    <w:p w14:paraId="5203E89E" w14:textId="77777777" w:rsidR="00486FD5" w:rsidRDefault="00486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12BF9" w14:paraId="3D890A91" w14:textId="77777777">
      <w:tc>
        <w:tcPr>
          <w:tcW w:w="5000" w:type="pct"/>
          <w:tcBorders>
            <w:top w:val="nil"/>
            <w:left w:val="nil"/>
            <w:bottom w:val="nil"/>
            <w:right w:val="nil"/>
          </w:tcBorders>
          <w:noWrap/>
        </w:tcPr>
        <w:p w14:paraId="3D890A90" w14:textId="77777777" w:rsidR="00212BF9" w:rsidRDefault="00212BF9" w:rsidP="00FF1E93">
          <w:pPr>
            <w:rPr>
              <w:color w:val="000000"/>
            </w:rPr>
          </w:pPr>
        </w:p>
      </w:tc>
    </w:tr>
  </w:tbl>
  <w:p w14:paraId="3D890A92" w14:textId="77777777" w:rsidR="00212BF9" w:rsidRDefault="00212BF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657CE"/>
    <w:rsid w:val="00065F8C"/>
    <w:rsid w:val="000F31FD"/>
    <w:rsid w:val="00104EDA"/>
    <w:rsid w:val="001117BD"/>
    <w:rsid w:val="0014307E"/>
    <w:rsid w:val="00205978"/>
    <w:rsid w:val="00212BF9"/>
    <w:rsid w:val="0025588A"/>
    <w:rsid w:val="00305735"/>
    <w:rsid w:val="0047329E"/>
    <w:rsid w:val="00486FD5"/>
    <w:rsid w:val="0049394C"/>
    <w:rsid w:val="00645423"/>
    <w:rsid w:val="00696221"/>
    <w:rsid w:val="007B333E"/>
    <w:rsid w:val="008312C5"/>
    <w:rsid w:val="0084526D"/>
    <w:rsid w:val="009337CC"/>
    <w:rsid w:val="009B69F5"/>
    <w:rsid w:val="009D24AA"/>
    <w:rsid w:val="00A77B3E"/>
    <w:rsid w:val="00A842C9"/>
    <w:rsid w:val="00B6207A"/>
    <w:rsid w:val="00B95441"/>
    <w:rsid w:val="00BA0707"/>
    <w:rsid w:val="00BE7C4A"/>
    <w:rsid w:val="00CA2A55"/>
    <w:rsid w:val="00D30FF0"/>
    <w:rsid w:val="00D96B55"/>
    <w:rsid w:val="00DE1098"/>
    <w:rsid w:val="00F727AE"/>
    <w:rsid w:val="00FF1E93"/>
    <w:rsid w:val="0204D81E"/>
    <w:rsid w:val="040F649E"/>
    <w:rsid w:val="05948E68"/>
    <w:rsid w:val="07169CA9"/>
    <w:rsid w:val="0A443094"/>
    <w:rsid w:val="0DBC8690"/>
    <w:rsid w:val="0F6A85D0"/>
    <w:rsid w:val="0F7B128A"/>
    <w:rsid w:val="10D82D17"/>
    <w:rsid w:val="11D5F1C5"/>
    <w:rsid w:val="1385A636"/>
    <w:rsid w:val="14162E0D"/>
    <w:rsid w:val="179CE299"/>
    <w:rsid w:val="18D0F6FF"/>
    <w:rsid w:val="1CC64B77"/>
    <w:rsid w:val="2177E341"/>
    <w:rsid w:val="2491CF5B"/>
    <w:rsid w:val="2BBD0C27"/>
    <w:rsid w:val="3582CEAF"/>
    <w:rsid w:val="43B514EF"/>
    <w:rsid w:val="44DACCDD"/>
    <w:rsid w:val="49782495"/>
    <w:rsid w:val="49B57652"/>
    <w:rsid w:val="4A4DB8CA"/>
    <w:rsid w:val="4ED0133C"/>
    <w:rsid w:val="52846A6E"/>
    <w:rsid w:val="5453A9B6"/>
    <w:rsid w:val="55E3D9A8"/>
    <w:rsid w:val="56BFDDE6"/>
    <w:rsid w:val="59BAFF21"/>
    <w:rsid w:val="5A11CFE5"/>
    <w:rsid w:val="5E7968C7"/>
    <w:rsid w:val="604BECE9"/>
    <w:rsid w:val="6B38F2C8"/>
    <w:rsid w:val="76F58798"/>
    <w:rsid w:val="79DAD5E9"/>
    <w:rsid w:val="7A5C93C3"/>
    <w:rsid w:val="7AD382CB"/>
    <w:rsid w:val="7E35FFB3"/>
    <w:rsid w:val="7EE0B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90A76"/>
  <w15:docId w15:val="{8BFDB489-B004-417E-B29E-A52AEC29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1E93"/>
    <w:pPr>
      <w:tabs>
        <w:tab w:val="center" w:pos="4680"/>
        <w:tab w:val="right" w:pos="9360"/>
      </w:tabs>
    </w:pPr>
  </w:style>
  <w:style w:type="character" w:customStyle="1" w:styleId="HeaderChar">
    <w:name w:val="Header Char"/>
    <w:basedOn w:val="DefaultParagraphFont"/>
    <w:link w:val="Header"/>
    <w:rsid w:val="00FF1E93"/>
    <w:rPr>
      <w:sz w:val="24"/>
      <w:szCs w:val="24"/>
    </w:rPr>
  </w:style>
  <w:style w:type="paragraph" w:styleId="Footer">
    <w:name w:val="footer"/>
    <w:basedOn w:val="Normal"/>
    <w:link w:val="FooterChar"/>
    <w:rsid w:val="00FF1E93"/>
    <w:pPr>
      <w:tabs>
        <w:tab w:val="center" w:pos="4680"/>
        <w:tab w:val="right" w:pos="9360"/>
      </w:tabs>
    </w:pPr>
  </w:style>
  <w:style w:type="character" w:customStyle="1" w:styleId="FooterChar">
    <w:name w:val="Footer Char"/>
    <w:basedOn w:val="DefaultParagraphFont"/>
    <w:link w:val="Footer"/>
    <w:rsid w:val="00FF1E93"/>
    <w:rPr>
      <w:sz w:val="24"/>
      <w:szCs w:val="24"/>
    </w:rPr>
  </w:style>
  <w:style w:type="character" w:styleId="Hyperlink">
    <w:name w:val="Hyperlink"/>
    <w:basedOn w:val="DefaultParagraphFont"/>
    <w:rsid w:val="00696221"/>
    <w:rPr>
      <w:color w:val="0000FF" w:themeColor="hyperlink"/>
      <w:u w:val="single"/>
    </w:rPr>
  </w:style>
  <w:style w:type="character" w:styleId="UnresolvedMention">
    <w:name w:val="Unresolved Mention"/>
    <w:basedOn w:val="DefaultParagraphFont"/>
    <w:uiPriority w:val="99"/>
    <w:semiHidden/>
    <w:unhideWhenUsed/>
    <w:rsid w:val="00696221"/>
    <w:rPr>
      <w:color w:val="605E5C"/>
      <w:shd w:val="clear" w:color="auto" w:fill="E1DFDD"/>
    </w:rPr>
  </w:style>
  <w:style w:type="paragraph" w:styleId="Revision">
    <w:name w:val="Revision"/>
    <w:hidden/>
    <w:uiPriority w:val="99"/>
    <w:semiHidden/>
    <w:rsid w:val="00B954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D3B99B593B03488EE4F17EC3915500" ma:contentTypeVersion="21" ma:contentTypeDescription="Create a new document." ma:contentTypeScope="" ma:versionID="4a43889dd6784bcc6f502aa52e1d4534">
  <xsd:schema xmlns:xsd="http://www.w3.org/2001/XMLSchema" xmlns:xs="http://www.w3.org/2001/XMLSchema" xmlns:p="http://schemas.microsoft.com/office/2006/metadata/properties" xmlns:ns2="73880f1c-9030-4fc3-ae91-9c598c094142" xmlns:ns3="6d1dde86-196c-4bcc-9560-feab4a4d52ca" targetNamespace="http://schemas.microsoft.com/office/2006/metadata/properties" ma:root="true" ma:fieldsID="ec022ef145e571d2da369c1f75f87958" ns2:_="" ns3:_="">
    <xsd:import namespace="73880f1c-9030-4fc3-ae91-9c598c094142"/>
    <xsd:import namespace="6d1dde86-196c-4bcc-9560-feab4a4d52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YES_x002f_NO" minOccurs="0"/>
                <xsd:element ref="ns2:MediaServiceSearchProperties" minOccurs="0"/>
                <xsd:element ref="ns2:DocumentDescription"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80f1c-9030-4fc3-ae91-9c598c094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482e0c1-59fc-4f79-b4ac-29e829bef9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YES_x002f_NO" ma:index="24" nillable="true" ma:displayName="YES/NO" ma:default="1" ma:description="Formatted" ma:format="Dropdown" ma:internalName="YES_x002f_NO">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umentDescription" ma:index="26" nillable="true" ma:displayName="Document Description" ma:format="Dropdown" ma:internalName="DocumentDescription">
      <xsd:simpleType>
        <xsd:restriction base="dms:Text">
          <xsd:maxLength value="255"/>
        </xsd:restriction>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dde86-196c-4bcc-9560-feab4a4d52c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a1ec13-31e6-415c-8ed0-cb8bb0eab1bf}" ma:internalName="TaxCatchAll" ma:showField="CatchAllData" ma:web="6d1dde86-196c-4bcc-9560-feab4a4d52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S_x002f_NO xmlns="73880f1c-9030-4fc3-ae91-9c598c094142">true</YES_x002f_NO>
    <TaxCatchAll xmlns="6d1dde86-196c-4bcc-9560-feab4a4d52ca" xsi:nil="true"/>
    <DocumentDescription xmlns="73880f1c-9030-4fc3-ae91-9c598c094142" xsi:nil="true"/>
    <lcf76f155ced4ddcb4097134ff3c332f xmlns="73880f1c-9030-4fc3-ae91-9c598c094142">
      <Terms xmlns="http://schemas.microsoft.com/office/infopath/2007/PartnerControls"/>
    </lcf76f155ced4ddcb4097134ff3c332f>
    <NOTES xmlns="73880f1c-9030-4fc3-ae91-9c598c0941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9D06FB-1E1D-4CDB-AE7A-F2DBA250D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80f1c-9030-4fc3-ae91-9c598c094142"/>
    <ds:schemaRef ds:uri="6d1dde86-196c-4bcc-9560-feab4a4d5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8AB9A8-739A-488C-8538-19C5E989DBA3}">
  <ds:schemaRefs>
    <ds:schemaRef ds:uri="http://schemas.microsoft.com/office/2006/metadata/properties"/>
    <ds:schemaRef ds:uri="http://schemas.microsoft.com/office/infopath/2007/PartnerControls"/>
    <ds:schemaRef ds:uri="73880f1c-9030-4fc3-ae91-9c598c094142"/>
    <ds:schemaRef ds:uri="6d1dde86-196c-4bcc-9560-feab4a4d52ca"/>
  </ds:schemaRefs>
</ds:datastoreItem>
</file>

<file path=customXml/itemProps3.xml><?xml version="1.0" encoding="utf-8"?>
<ds:datastoreItem xmlns:ds="http://schemas.openxmlformats.org/officeDocument/2006/customXml" ds:itemID="{1D3EEC8B-DBAE-4060-ADE6-A655CF746676}">
  <ds:schemaRefs>
    <ds:schemaRef ds:uri="http://schemas.microsoft.com/sharepoint/v3/contenttype/forms"/>
  </ds:schemaRefs>
</ds:datastoreItem>
</file>

<file path=docMetadata/LabelInfo.xml><?xml version="1.0" encoding="utf-8"?>
<clbl:labelList xmlns:clbl="http://schemas.microsoft.com/office/2020/mipLabelMetadata">
  <clbl:label id="{0fb6fdc3-eb1e-4f97-9eb8-a94b752b1d81}" enabled="0" method="" siteId="{0fb6fdc3-eb1e-4f97-9eb8-a94b752b1d81}"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805</Words>
  <Characters>3891</Characters>
  <Application>Microsoft Office Word</Application>
  <DocSecurity>0</DocSecurity>
  <Lines>72</Lines>
  <Paragraphs>19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Kerbel</dc:creator>
  <cp:keywords/>
  <cp:lastModifiedBy>Marilyn DeMilta</cp:lastModifiedBy>
  <cp:revision>6</cp:revision>
  <dcterms:created xsi:type="dcterms:W3CDTF">2026-07-14T17:23:00Z</dcterms:created>
  <dcterms:modified xsi:type="dcterms:W3CDTF">2026-07-14T22:20:00Z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0x010100B2D3B99B593B03488EE4F17EC3915500</vt:lpwstr>
  </property>
  <property fmtid="{D5CDD505-2E9C-101B-9397-08002B2CF9AE}" pid="3" name="MediaServiceImageTags">
    <vt:lpwstr/>
  </property>
</Properties>
</file>