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47F94" w14:textId="77777777" w:rsidR="006F30F9" w:rsidRPr="006F30F9" w:rsidRDefault="006F30F9" w:rsidP="002F56CB">
      <w:pPr>
        <w:jc w:val="center"/>
        <w:rPr>
          <w:rFonts w:ascii="Calibri" w:hAnsi="Calibri" w:cs="Calibri"/>
          <w:b/>
          <w:bCs/>
        </w:rPr>
      </w:pPr>
      <w:r w:rsidRPr="006F30F9">
        <w:rPr>
          <w:rFonts w:ascii="Calibri" w:hAnsi="Calibri" w:cs="Calibri"/>
          <w:b/>
          <w:bCs/>
        </w:rPr>
        <w:t>AV Dosing and AE Management in Patients With Untreated CLL</w:t>
      </w:r>
    </w:p>
    <w:p w14:paraId="792F2C40" w14:textId="77777777" w:rsidR="006F30F9" w:rsidRDefault="006F30F9" w:rsidP="002F56CB">
      <w:pPr>
        <w:jc w:val="center"/>
        <w:rPr>
          <w:rFonts w:ascii="Calibri" w:hAnsi="Calibri" w:cs="Calibri"/>
          <w:b/>
          <w:bCs/>
          <w:color w:val="000000" w:themeColor="text1"/>
        </w:rPr>
      </w:pPr>
      <w:r w:rsidRPr="006F30F9">
        <w:rPr>
          <w:rFonts w:ascii="Calibri" w:hAnsi="Calibri" w:cs="Calibri"/>
          <w:b/>
          <w:bCs/>
        </w:rPr>
        <w:t xml:space="preserve">Part 3: </w:t>
      </w:r>
      <w:r w:rsidRPr="006F30F9">
        <w:rPr>
          <w:rFonts w:ascii="Calibri" w:hAnsi="Calibri" w:cs="Calibri"/>
          <w:b/>
          <w:bCs/>
          <w:color w:val="000000" w:themeColor="text1"/>
        </w:rPr>
        <w:t>Management of AEs With AV</w:t>
      </w:r>
    </w:p>
    <w:p w14:paraId="6F5DFCD7" w14:textId="77777777" w:rsidR="00535DEA" w:rsidRPr="006F30F9" w:rsidRDefault="00535DEA" w:rsidP="002F56CB">
      <w:pPr>
        <w:jc w:val="center"/>
        <w:rPr>
          <w:rFonts w:ascii="Calibri" w:hAnsi="Calibri" w:cs="Calibri"/>
        </w:rPr>
      </w:pPr>
    </w:p>
    <w:p w14:paraId="6F06CD89" w14:textId="0984C056" w:rsidR="00A77B3E" w:rsidRPr="00DE19AF" w:rsidRDefault="00271134" w:rsidP="002F56CB">
      <w:pPr>
        <w:rPr>
          <w:rFonts w:ascii="Calibri" w:eastAsia="Calibri" w:hAnsi="Calibri" w:cs="Calibri"/>
          <w:b/>
          <w:bCs/>
          <w:color w:val="000000"/>
          <w:sz w:val="22"/>
        </w:rPr>
      </w:pPr>
      <w:r w:rsidRPr="00DE19AF">
        <w:rPr>
          <w:rFonts w:ascii="Calibri" w:eastAsia="Calibri" w:hAnsi="Calibri" w:cs="Calibri"/>
          <w:b/>
          <w:bCs/>
          <w:color w:val="000000"/>
          <w:sz w:val="22"/>
        </w:rPr>
        <w:t>Mary DiLorenzo</w:t>
      </w:r>
      <w:r w:rsidR="00DE19AF">
        <w:rPr>
          <w:rFonts w:ascii="Calibri" w:eastAsia="Calibri" w:hAnsi="Calibri" w:cs="Calibri"/>
          <w:b/>
          <w:bCs/>
          <w:color w:val="000000"/>
          <w:sz w:val="22"/>
        </w:rPr>
        <w:t>:</w:t>
      </w:r>
    </w:p>
    <w:p w14:paraId="6F06CD8A" w14:textId="2A383137" w:rsidR="00A77B3E" w:rsidRDefault="00271134" w:rsidP="002F56CB">
      <w:pPr>
        <w:rPr>
          <w:rFonts w:ascii="Calibri" w:eastAsia="Calibri" w:hAnsi="Calibri" w:cs="Calibri"/>
          <w:color w:val="000000" w:themeColor="text1"/>
          <w:sz w:val="22"/>
          <w:szCs w:val="22"/>
        </w:rPr>
      </w:pPr>
      <w:r w:rsidRPr="7F1EE542">
        <w:rPr>
          <w:rFonts w:ascii="Calibri" w:eastAsia="Calibri" w:hAnsi="Calibri" w:cs="Calibri"/>
          <w:color w:val="000000" w:themeColor="text1"/>
          <w:sz w:val="22"/>
          <w:szCs w:val="22"/>
        </w:rPr>
        <w:t xml:space="preserve">Welcome back and thank you for joining part </w:t>
      </w:r>
      <w:r w:rsidR="504EEA6B" w:rsidRPr="7F1EE542">
        <w:rPr>
          <w:rFonts w:ascii="Calibri" w:eastAsia="Calibri" w:hAnsi="Calibri" w:cs="Calibri"/>
          <w:color w:val="000000" w:themeColor="text1"/>
          <w:sz w:val="22"/>
          <w:szCs w:val="22"/>
        </w:rPr>
        <w:t>3</w:t>
      </w:r>
      <w:r w:rsidRPr="7F1EE542">
        <w:rPr>
          <w:rFonts w:ascii="Calibri" w:eastAsia="Calibri" w:hAnsi="Calibri" w:cs="Calibri"/>
          <w:color w:val="000000" w:themeColor="text1"/>
          <w:sz w:val="22"/>
          <w:szCs w:val="22"/>
        </w:rPr>
        <w:t xml:space="preserve"> of this case-based exchange focused on AV dosing and AE management. I'm Mary Elizabeth DiLorenzo. I'm an advanced nurse practitioner that currently works in the malignant hematology space specializing in CLL. I am practicing at the Novant Cancer Institute in Charlotte, North Carolina.</w:t>
      </w:r>
    </w:p>
    <w:p w14:paraId="7E727F68" w14:textId="77777777" w:rsidR="002F56CB" w:rsidRDefault="002F56CB" w:rsidP="002F56CB">
      <w:pPr>
        <w:rPr>
          <w:rFonts w:ascii="Calibri" w:eastAsia="Calibri" w:hAnsi="Calibri" w:cs="Calibri"/>
          <w:color w:val="000000" w:themeColor="text1"/>
          <w:sz w:val="22"/>
          <w:szCs w:val="22"/>
        </w:rPr>
      </w:pPr>
    </w:p>
    <w:p w14:paraId="6F06CD8B" w14:textId="04429477" w:rsidR="00A77B3E" w:rsidRPr="00DE19AF" w:rsidRDefault="00271134" w:rsidP="002F56CB">
      <w:pPr>
        <w:rPr>
          <w:rFonts w:ascii="Calibri" w:eastAsia="Calibri" w:hAnsi="Calibri" w:cs="Calibri"/>
          <w:b/>
          <w:bCs/>
          <w:color w:val="000000"/>
          <w:sz w:val="22"/>
        </w:rPr>
      </w:pPr>
      <w:r w:rsidRPr="00DE19AF">
        <w:rPr>
          <w:rFonts w:ascii="Calibri" w:eastAsia="Calibri" w:hAnsi="Calibri" w:cs="Calibri"/>
          <w:b/>
          <w:bCs/>
          <w:color w:val="000000"/>
          <w:sz w:val="22"/>
        </w:rPr>
        <w:t>Jamila Brutus</w:t>
      </w:r>
      <w:r w:rsidR="00DE19AF">
        <w:rPr>
          <w:rFonts w:ascii="Calibri" w:eastAsia="Calibri" w:hAnsi="Calibri" w:cs="Calibri"/>
          <w:b/>
          <w:bCs/>
          <w:color w:val="000000"/>
          <w:sz w:val="22"/>
        </w:rPr>
        <w:t>:</w:t>
      </w:r>
    </w:p>
    <w:p w14:paraId="6F06CD8C" w14:textId="48C4DD54" w:rsidR="00A77B3E" w:rsidRDefault="00271134" w:rsidP="002F56CB">
      <w:pPr>
        <w:rPr>
          <w:rFonts w:ascii="Calibri" w:eastAsia="Calibri" w:hAnsi="Calibri" w:cs="Calibri"/>
          <w:color w:val="000000"/>
          <w:sz w:val="22"/>
        </w:rPr>
      </w:pPr>
      <w:r>
        <w:rPr>
          <w:rFonts w:ascii="Calibri" w:eastAsia="Calibri" w:hAnsi="Calibri" w:cs="Calibri"/>
          <w:color w:val="000000"/>
          <w:sz w:val="22"/>
        </w:rPr>
        <w:t>Ms. Ja</w:t>
      </w:r>
      <w:r w:rsidR="00A506C6">
        <w:rPr>
          <w:rFonts w:ascii="Calibri" w:eastAsia="Calibri" w:hAnsi="Calibri" w:cs="Calibri"/>
          <w:color w:val="000000"/>
          <w:sz w:val="22"/>
        </w:rPr>
        <w:t>m</w:t>
      </w:r>
      <w:r>
        <w:rPr>
          <w:rFonts w:ascii="Calibri" w:eastAsia="Calibri" w:hAnsi="Calibri" w:cs="Calibri"/>
          <w:color w:val="000000"/>
          <w:sz w:val="22"/>
        </w:rPr>
        <w:t>ila Brutus, I'm a nurse practitioner at Memorial Sloan Kettering Cancer Center. I specialize in chronic lymphocytic leukemia. Thank you for joining us. As a recap, the objectives of this case-based exchange is to describe complex acalabrutinib and venetoclax dosing regimen utilized in treatment of patients with untreated chronic lymphocytic leukemia and share common treatment-related AEs and best practices associated managing AEs with this regimen.</w:t>
      </w:r>
    </w:p>
    <w:p w14:paraId="4475209F" w14:textId="77777777" w:rsidR="002F56CB" w:rsidRDefault="002F56CB" w:rsidP="002F56CB">
      <w:pPr>
        <w:rPr>
          <w:rFonts w:ascii="Calibri" w:eastAsia="Calibri" w:hAnsi="Calibri" w:cs="Calibri"/>
          <w:color w:val="000000"/>
          <w:sz w:val="22"/>
        </w:rPr>
      </w:pPr>
    </w:p>
    <w:p w14:paraId="51595492" w14:textId="77777777" w:rsidR="00DE19AF" w:rsidRPr="00DE19AF" w:rsidRDefault="00DE19AF" w:rsidP="002F56CB">
      <w:pPr>
        <w:rPr>
          <w:rFonts w:ascii="Calibri" w:eastAsia="Calibri" w:hAnsi="Calibri" w:cs="Calibri"/>
          <w:b/>
          <w:bCs/>
          <w:color w:val="000000"/>
          <w:sz w:val="22"/>
        </w:rPr>
      </w:pPr>
      <w:r w:rsidRPr="00DE19AF">
        <w:rPr>
          <w:rFonts w:ascii="Calibri" w:eastAsia="Calibri" w:hAnsi="Calibri" w:cs="Calibri"/>
          <w:b/>
          <w:bCs/>
          <w:color w:val="000000"/>
          <w:sz w:val="22"/>
        </w:rPr>
        <w:t>Mary DiLorenzo</w:t>
      </w:r>
      <w:r>
        <w:rPr>
          <w:rFonts w:ascii="Calibri" w:eastAsia="Calibri" w:hAnsi="Calibri" w:cs="Calibri"/>
          <w:b/>
          <w:bCs/>
          <w:color w:val="000000"/>
          <w:sz w:val="22"/>
        </w:rPr>
        <w:t>:</w:t>
      </w:r>
    </w:p>
    <w:p w14:paraId="6F06CD8E" w14:textId="5D8F7B3E" w:rsidR="00A77B3E" w:rsidRDefault="00271134" w:rsidP="002F56CB">
      <w:pPr>
        <w:rPr>
          <w:rFonts w:ascii="Calibri" w:eastAsia="Calibri" w:hAnsi="Calibri" w:cs="Calibri"/>
          <w:color w:val="000000" w:themeColor="text1"/>
          <w:sz w:val="22"/>
          <w:szCs w:val="22"/>
        </w:rPr>
      </w:pPr>
      <w:r w:rsidRPr="7F1EE542">
        <w:rPr>
          <w:rFonts w:ascii="Calibri" w:eastAsia="Calibri" w:hAnsi="Calibri" w:cs="Calibri"/>
          <w:color w:val="000000" w:themeColor="text1"/>
          <w:sz w:val="22"/>
          <w:szCs w:val="22"/>
        </w:rPr>
        <w:t>In the first</w:t>
      </w:r>
      <w:r w:rsidR="05931B40" w:rsidRPr="7F1EE542">
        <w:rPr>
          <w:rFonts w:ascii="Calibri" w:eastAsia="Calibri" w:hAnsi="Calibri" w:cs="Calibri"/>
          <w:color w:val="000000" w:themeColor="text1"/>
          <w:sz w:val="22"/>
          <w:szCs w:val="22"/>
        </w:rPr>
        <w:t xml:space="preserve"> 2</w:t>
      </w:r>
      <w:r w:rsidRPr="7F1EE542">
        <w:rPr>
          <w:rFonts w:ascii="Calibri" w:eastAsia="Calibri" w:hAnsi="Calibri" w:cs="Calibri"/>
          <w:color w:val="000000" w:themeColor="text1"/>
          <w:sz w:val="22"/>
          <w:szCs w:val="22"/>
        </w:rPr>
        <w:t xml:space="preserve"> parts, JS had received her full treatment. Now we are going to shift gears and focus on AE management. Just to recap, JS showed significant lymphadenopathy and B symptoms</w:t>
      </w:r>
      <w:r w:rsidR="77B47FA7" w:rsidRPr="7F1EE542">
        <w:rPr>
          <w:rFonts w:ascii="Calibri" w:eastAsia="Calibri" w:hAnsi="Calibri" w:cs="Calibri"/>
          <w:color w:val="000000" w:themeColor="text1"/>
          <w:sz w:val="22"/>
          <w:szCs w:val="22"/>
        </w:rPr>
        <w:t xml:space="preserve">, </w:t>
      </w:r>
      <w:r w:rsidRPr="7F1EE542">
        <w:rPr>
          <w:rFonts w:ascii="Calibri" w:eastAsia="Calibri" w:hAnsi="Calibri" w:cs="Calibri"/>
          <w:color w:val="000000" w:themeColor="text1"/>
          <w:sz w:val="22"/>
          <w:szCs w:val="22"/>
        </w:rPr>
        <w:t>the most notably</w:t>
      </w:r>
      <w:r w:rsidR="63A85756" w:rsidRPr="7F1EE542">
        <w:rPr>
          <w:rFonts w:ascii="Calibri" w:eastAsia="Calibri" w:hAnsi="Calibri" w:cs="Calibri"/>
          <w:color w:val="000000" w:themeColor="text1"/>
          <w:sz w:val="22"/>
          <w:szCs w:val="22"/>
        </w:rPr>
        <w:t>,</w:t>
      </w:r>
      <w:r w:rsidRPr="7F1EE542">
        <w:rPr>
          <w:rFonts w:ascii="Calibri" w:eastAsia="Calibri" w:hAnsi="Calibri" w:cs="Calibri"/>
          <w:color w:val="000000" w:themeColor="text1"/>
          <w:sz w:val="22"/>
          <w:szCs w:val="22"/>
        </w:rPr>
        <w:t xml:space="preserve"> significant weight loss. We had a conversation with her based on her cytogenetics and personal preference, and we basically discussed the option of doing fixed duration with acalabrutinib, venetoclax versus non-fixed or continuous with just acalabrutinib. The decision was made to give her the combination oral therapy, venetoclax and acalabrutinib, which is a fixed</w:t>
      </w:r>
      <w:r w:rsidR="75FE0DE0" w:rsidRPr="7F1EE542">
        <w:rPr>
          <w:rFonts w:ascii="Calibri" w:eastAsia="Calibri" w:hAnsi="Calibri" w:cs="Calibri"/>
          <w:color w:val="000000" w:themeColor="text1"/>
          <w:sz w:val="22"/>
          <w:szCs w:val="22"/>
        </w:rPr>
        <w:t>-</w:t>
      </w:r>
      <w:r w:rsidRPr="7F1EE542">
        <w:rPr>
          <w:rFonts w:ascii="Calibri" w:eastAsia="Calibri" w:hAnsi="Calibri" w:cs="Calibri"/>
          <w:color w:val="000000" w:themeColor="text1"/>
          <w:sz w:val="22"/>
          <w:szCs w:val="22"/>
        </w:rPr>
        <w:t xml:space="preserve">duration treatment option. She received her first dose of venetoclax at the start of cycle </w:t>
      </w:r>
      <w:r w:rsidR="0AD9E5E9" w:rsidRPr="7F1EE542">
        <w:rPr>
          <w:rFonts w:ascii="Calibri" w:eastAsia="Calibri" w:hAnsi="Calibri" w:cs="Calibri"/>
          <w:color w:val="000000" w:themeColor="text1"/>
          <w:sz w:val="22"/>
          <w:szCs w:val="22"/>
        </w:rPr>
        <w:t>3</w:t>
      </w:r>
      <w:r w:rsidRPr="7F1EE542">
        <w:rPr>
          <w:rFonts w:ascii="Calibri" w:eastAsia="Calibri" w:hAnsi="Calibri" w:cs="Calibri"/>
          <w:color w:val="000000" w:themeColor="text1"/>
          <w:sz w:val="22"/>
          <w:szCs w:val="22"/>
        </w:rPr>
        <w:t xml:space="preserve">. Remember with this particular regimen, we start patients on acalabrutinib for the first couple </w:t>
      </w:r>
      <w:r w:rsidR="4481ACA6" w:rsidRPr="7F1EE542">
        <w:rPr>
          <w:rFonts w:ascii="Calibri" w:eastAsia="Calibri" w:hAnsi="Calibri" w:cs="Calibri"/>
          <w:color w:val="000000" w:themeColor="text1"/>
          <w:sz w:val="22"/>
          <w:szCs w:val="22"/>
        </w:rPr>
        <w:t xml:space="preserve">of </w:t>
      </w:r>
      <w:r w:rsidRPr="7F1EE542">
        <w:rPr>
          <w:rFonts w:ascii="Calibri" w:eastAsia="Calibri" w:hAnsi="Calibri" w:cs="Calibri"/>
          <w:color w:val="000000" w:themeColor="text1"/>
          <w:sz w:val="22"/>
          <w:szCs w:val="22"/>
        </w:rPr>
        <w:t xml:space="preserve">months to debulk their disease and minimize the risk of them developing tumor lysis syndrome, especially for those patients that have an intermittent or high risk for TLS. JS will complete 14 cycles of total treatment. Within that 14 cycles, </w:t>
      </w:r>
      <w:r w:rsidR="10CBB719" w:rsidRPr="7F1EE542">
        <w:rPr>
          <w:rFonts w:ascii="Calibri" w:eastAsia="Calibri" w:hAnsi="Calibri" w:cs="Calibri"/>
          <w:color w:val="000000" w:themeColor="text1"/>
          <w:sz w:val="22"/>
          <w:szCs w:val="22"/>
        </w:rPr>
        <w:t>2</w:t>
      </w:r>
      <w:r w:rsidRPr="7F1EE542">
        <w:rPr>
          <w:rFonts w:ascii="Calibri" w:eastAsia="Calibri" w:hAnsi="Calibri" w:cs="Calibri"/>
          <w:color w:val="000000" w:themeColor="text1"/>
          <w:sz w:val="22"/>
          <w:szCs w:val="22"/>
        </w:rPr>
        <w:t xml:space="preserve"> of them will be single-agent </w:t>
      </w:r>
      <w:r w:rsidR="0A68B5CC" w:rsidRPr="7F1EE542">
        <w:rPr>
          <w:rFonts w:ascii="Calibri" w:eastAsia="Calibri" w:hAnsi="Calibri" w:cs="Calibri"/>
          <w:color w:val="000000" w:themeColor="text1"/>
          <w:sz w:val="22"/>
          <w:szCs w:val="22"/>
        </w:rPr>
        <w:t>a</w:t>
      </w:r>
      <w:r w:rsidRPr="7F1EE542">
        <w:rPr>
          <w:rFonts w:ascii="Calibri" w:eastAsia="Calibri" w:hAnsi="Calibri" w:cs="Calibri"/>
          <w:color w:val="000000" w:themeColor="text1"/>
          <w:sz w:val="22"/>
          <w:szCs w:val="22"/>
        </w:rPr>
        <w:t xml:space="preserve">cala followed by 12 cycles that are combination </w:t>
      </w:r>
      <w:r w:rsidR="17997145" w:rsidRPr="7F1EE542">
        <w:rPr>
          <w:rFonts w:ascii="Calibri" w:eastAsia="Calibri" w:hAnsi="Calibri" w:cs="Calibri"/>
          <w:color w:val="000000" w:themeColor="text1"/>
          <w:sz w:val="22"/>
          <w:szCs w:val="22"/>
        </w:rPr>
        <w:t>a</w:t>
      </w:r>
      <w:r w:rsidRPr="7F1EE542">
        <w:rPr>
          <w:rFonts w:ascii="Calibri" w:eastAsia="Calibri" w:hAnsi="Calibri" w:cs="Calibri"/>
          <w:color w:val="000000" w:themeColor="text1"/>
          <w:sz w:val="22"/>
          <w:szCs w:val="22"/>
        </w:rPr>
        <w:t xml:space="preserve">cala and </w:t>
      </w:r>
      <w:r w:rsidR="002D06A8">
        <w:rPr>
          <w:rFonts w:ascii="Calibri" w:eastAsia="Calibri" w:hAnsi="Calibri" w:cs="Calibri"/>
          <w:color w:val="000000" w:themeColor="text1"/>
          <w:sz w:val="22"/>
          <w:szCs w:val="22"/>
        </w:rPr>
        <w:t>v</w:t>
      </w:r>
      <w:r w:rsidR="002D06A8" w:rsidRPr="7F1EE542">
        <w:rPr>
          <w:rFonts w:ascii="Calibri" w:eastAsia="Calibri" w:hAnsi="Calibri" w:cs="Calibri"/>
          <w:color w:val="000000" w:themeColor="text1"/>
          <w:sz w:val="22"/>
          <w:szCs w:val="22"/>
        </w:rPr>
        <w:t>enetoclax</w:t>
      </w:r>
      <w:r w:rsidRPr="7F1EE542">
        <w:rPr>
          <w:rFonts w:ascii="Calibri" w:eastAsia="Calibri" w:hAnsi="Calibri" w:cs="Calibri"/>
          <w:color w:val="000000" w:themeColor="text1"/>
          <w:sz w:val="22"/>
          <w:szCs w:val="22"/>
        </w:rPr>
        <w:t>.</w:t>
      </w:r>
    </w:p>
    <w:p w14:paraId="34F66738" w14:textId="77777777" w:rsidR="002F56CB" w:rsidRDefault="002F56CB" w:rsidP="002F56CB">
      <w:pPr>
        <w:rPr>
          <w:rFonts w:ascii="Calibri" w:eastAsia="Calibri" w:hAnsi="Calibri" w:cs="Calibri"/>
          <w:color w:val="000000"/>
          <w:sz w:val="22"/>
        </w:rPr>
      </w:pPr>
    </w:p>
    <w:p w14:paraId="6F06CD90" w14:textId="76B265C0" w:rsidR="00A77B3E" w:rsidRDefault="00271134" w:rsidP="002F56CB">
      <w:pPr>
        <w:rPr>
          <w:rFonts w:ascii="Calibri" w:eastAsia="Calibri" w:hAnsi="Calibri" w:cs="Calibri"/>
          <w:color w:val="000000"/>
          <w:sz w:val="22"/>
        </w:rPr>
      </w:pPr>
      <w:r>
        <w:rPr>
          <w:rFonts w:ascii="Calibri" w:eastAsia="Calibri" w:hAnsi="Calibri" w:cs="Calibri"/>
          <w:color w:val="000000"/>
          <w:sz w:val="22"/>
        </w:rPr>
        <w:t>So when we start patients on treatment, one of the most important things to remember is that we really do have to keep a close eye on them because we need to know if there are any adverse events happening. Because what science and data and history and clinical practice has shown us in the past is that patients need to be informed and we need to understand what's going on with these patients at home. What we don't want is these patients to be sitting at home with side effects that we're unaware of because if we're unaware, we can't help them, and that leads to patients self-discontinuing off of therapies. And so some of the more commonly observed treatment-related regimens that we see with this particular regimen are fatigue. Keep in mind that fatigue is also a very common symptom of CLL.</w:t>
      </w:r>
    </w:p>
    <w:p w14:paraId="666AA8E3" w14:textId="77777777" w:rsidR="002F56CB" w:rsidRDefault="002F56CB" w:rsidP="002F56CB">
      <w:pPr>
        <w:rPr>
          <w:rFonts w:ascii="Calibri" w:eastAsia="Calibri" w:hAnsi="Calibri" w:cs="Calibri"/>
          <w:color w:val="000000"/>
          <w:sz w:val="22"/>
        </w:rPr>
      </w:pPr>
    </w:p>
    <w:p w14:paraId="6F06CD92" w14:textId="7840BB9F" w:rsidR="00A77B3E" w:rsidRDefault="00271134" w:rsidP="002F56CB">
      <w:pPr>
        <w:rPr>
          <w:rFonts w:ascii="Calibri" w:eastAsia="Calibri" w:hAnsi="Calibri" w:cs="Calibri"/>
          <w:color w:val="000000"/>
          <w:sz w:val="22"/>
        </w:rPr>
      </w:pPr>
      <w:r>
        <w:rPr>
          <w:rFonts w:ascii="Calibri" w:eastAsia="Calibri" w:hAnsi="Calibri" w:cs="Calibri"/>
          <w:color w:val="000000"/>
          <w:sz w:val="22"/>
        </w:rPr>
        <w:t>And so it's sometimes hard to tease out which is what, right? Is this patient's fatigue coming from their untreated CLL or is this fatigue that's coming from their treatment decision? And so we have to think about where they are on the treatment plan to tease that information out a little bit more. We definitely can see some cytopenias, specifically neutropenia, anemia, and thrombocytopenia, but we are checking their labs to ensure that we're catching this early on if it is occurring. In the role of bacterial and viral infections in terms of AEs, yes, they can happen, but I don't know, Jamila, if you agree with me or not, but I think these patients are so immunocompromised from their untreated CLL that I find, at least in clinical practice, that their bacterial and viral infections actually improve as they go into that complete remission.</w:t>
      </w:r>
    </w:p>
    <w:p w14:paraId="7772539D" w14:textId="77777777" w:rsidR="00535DEA" w:rsidRDefault="00535DEA" w:rsidP="002F56CB">
      <w:pPr>
        <w:rPr>
          <w:rFonts w:ascii="Calibri" w:eastAsia="Calibri" w:hAnsi="Calibri" w:cs="Calibri"/>
          <w:color w:val="000000"/>
          <w:sz w:val="22"/>
        </w:rPr>
      </w:pPr>
    </w:p>
    <w:p w14:paraId="78B840A7" w14:textId="77777777" w:rsidR="00A90563" w:rsidRPr="00DE19AF" w:rsidRDefault="00A90563" w:rsidP="002F56CB">
      <w:pPr>
        <w:rPr>
          <w:rFonts w:ascii="Calibri" w:eastAsia="Calibri" w:hAnsi="Calibri" w:cs="Calibri"/>
          <w:b/>
          <w:bCs/>
          <w:color w:val="000000"/>
          <w:sz w:val="22"/>
        </w:rPr>
      </w:pPr>
      <w:r w:rsidRPr="00DE19AF">
        <w:rPr>
          <w:rFonts w:ascii="Calibri" w:eastAsia="Calibri" w:hAnsi="Calibri" w:cs="Calibri"/>
          <w:b/>
          <w:bCs/>
          <w:color w:val="000000"/>
          <w:sz w:val="22"/>
        </w:rPr>
        <w:t>Jamila Brutus</w:t>
      </w:r>
      <w:r>
        <w:rPr>
          <w:rFonts w:ascii="Calibri" w:eastAsia="Calibri" w:hAnsi="Calibri" w:cs="Calibri"/>
          <w:b/>
          <w:bCs/>
          <w:color w:val="000000"/>
          <w:sz w:val="22"/>
        </w:rPr>
        <w:t>:</w:t>
      </w:r>
    </w:p>
    <w:p w14:paraId="6F06CD94" w14:textId="77777777" w:rsidR="00A77B3E" w:rsidRDefault="00271134" w:rsidP="002F56CB">
      <w:pPr>
        <w:rPr>
          <w:rFonts w:ascii="Calibri" w:eastAsia="Calibri" w:hAnsi="Calibri" w:cs="Calibri"/>
          <w:color w:val="000000"/>
          <w:sz w:val="22"/>
        </w:rPr>
      </w:pPr>
      <w:r>
        <w:rPr>
          <w:rFonts w:ascii="Calibri" w:eastAsia="Calibri" w:hAnsi="Calibri" w:cs="Calibri"/>
          <w:color w:val="000000"/>
          <w:sz w:val="22"/>
        </w:rPr>
        <w:t>Yes, I definitely agree. As far as infection, definitely improve after patients achieve a complete remission. And we usually have our patients on prophylactic antiviral treatment while they're going through treatment as well.</w:t>
      </w:r>
    </w:p>
    <w:p w14:paraId="007AAB65" w14:textId="77777777" w:rsidR="00535DEA" w:rsidRDefault="00535DEA" w:rsidP="002F56CB">
      <w:pPr>
        <w:rPr>
          <w:rFonts w:ascii="Calibri" w:eastAsia="Calibri" w:hAnsi="Calibri" w:cs="Calibri"/>
          <w:color w:val="000000"/>
          <w:sz w:val="22"/>
        </w:rPr>
      </w:pPr>
    </w:p>
    <w:p w14:paraId="2A07F96D" w14:textId="77777777" w:rsidR="00DE19AF" w:rsidRPr="00DE19AF" w:rsidRDefault="00DE19AF" w:rsidP="002F56CB">
      <w:pPr>
        <w:rPr>
          <w:rFonts w:ascii="Calibri" w:eastAsia="Calibri" w:hAnsi="Calibri" w:cs="Calibri"/>
          <w:b/>
          <w:bCs/>
          <w:color w:val="000000"/>
          <w:sz w:val="22"/>
        </w:rPr>
      </w:pPr>
      <w:r w:rsidRPr="00DE19AF">
        <w:rPr>
          <w:rFonts w:ascii="Calibri" w:eastAsia="Calibri" w:hAnsi="Calibri" w:cs="Calibri"/>
          <w:b/>
          <w:bCs/>
          <w:color w:val="000000"/>
          <w:sz w:val="22"/>
        </w:rPr>
        <w:t>Mary DiLorenzo</w:t>
      </w:r>
      <w:r>
        <w:rPr>
          <w:rFonts w:ascii="Calibri" w:eastAsia="Calibri" w:hAnsi="Calibri" w:cs="Calibri"/>
          <w:b/>
          <w:bCs/>
          <w:color w:val="000000"/>
          <w:sz w:val="22"/>
        </w:rPr>
        <w:t>:</w:t>
      </w:r>
    </w:p>
    <w:p w14:paraId="6F06CD96" w14:textId="4F745D1B" w:rsidR="00A77B3E" w:rsidRDefault="00271134" w:rsidP="002F56CB">
      <w:pPr>
        <w:rPr>
          <w:rFonts w:ascii="Calibri" w:eastAsia="Calibri" w:hAnsi="Calibri" w:cs="Calibri"/>
          <w:color w:val="000000" w:themeColor="text1"/>
          <w:sz w:val="22"/>
          <w:szCs w:val="22"/>
        </w:rPr>
      </w:pPr>
      <w:r w:rsidRPr="7F1EE542">
        <w:rPr>
          <w:rFonts w:ascii="Calibri" w:eastAsia="Calibri" w:hAnsi="Calibri" w:cs="Calibri"/>
          <w:color w:val="000000" w:themeColor="text1"/>
          <w:sz w:val="22"/>
          <w:szCs w:val="22"/>
        </w:rPr>
        <w:t xml:space="preserve">Yes. So what about their cardiac history? There's a lot of talk with cardiac issues when you start patients on BTKIs. And so yes, can we see </w:t>
      </w:r>
      <w:r w:rsidR="00C06B35">
        <w:rPr>
          <w:rFonts w:ascii="Calibri" w:eastAsia="Calibri" w:hAnsi="Calibri" w:cs="Calibri"/>
          <w:color w:val="000000" w:themeColor="text1"/>
          <w:sz w:val="22"/>
          <w:szCs w:val="22"/>
        </w:rPr>
        <w:t>AFib</w:t>
      </w:r>
      <w:r w:rsidRPr="7F1EE542">
        <w:rPr>
          <w:rFonts w:ascii="Calibri" w:eastAsia="Calibri" w:hAnsi="Calibri" w:cs="Calibri"/>
          <w:color w:val="000000" w:themeColor="text1"/>
          <w:sz w:val="22"/>
          <w:szCs w:val="22"/>
        </w:rPr>
        <w:t xml:space="preserve"> or hypertension with </w:t>
      </w:r>
      <w:r w:rsidR="18D96645" w:rsidRPr="7F1EE542">
        <w:rPr>
          <w:rFonts w:ascii="Calibri" w:eastAsia="Calibri" w:hAnsi="Calibri" w:cs="Calibri"/>
          <w:color w:val="000000" w:themeColor="text1"/>
          <w:sz w:val="22"/>
          <w:szCs w:val="22"/>
        </w:rPr>
        <w:t>a</w:t>
      </w:r>
      <w:r w:rsidRPr="7F1EE542">
        <w:rPr>
          <w:rFonts w:ascii="Calibri" w:eastAsia="Calibri" w:hAnsi="Calibri" w:cs="Calibri"/>
          <w:color w:val="000000" w:themeColor="text1"/>
          <w:sz w:val="22"/>
          <w:szCs w:val="22"/>
        </w:rPr>
        <w:t xml:space="preserve">calabrutinib? We absolutely do see that. But again, this doesn't mean or preclude patients that have </w:t>
      </w:r>
      <w:r w:rsidR="00C06B35">
        <w:rPr>
          <w:rFonts w:ascii="Calibri" w:eastAsia="Calibri" w:hAnsi="Calibri" w:cs="Calibri"/>
          <w:color w:val="000000" w:themeColor="text1"/>
          <w:sz w:val="22"/>
          <w:szCs w:val="22"/>
        </w:rPr>
        <w:t>AFib</w:t>
      </w:r>
      <w:r w:rsidR="00C06B35" w:rsidRPr="7F1EE542">
        <w:rPr>
          <w:rFonts w:ascii="Calibri" w:eastAsia="Calibri" w:hAnsi="Calibri" w:cs="Calibri"/>
          <w:color w:val="000000" w:themeColor="text1"/>
          <w:sz w:val="22"/>
          <w:szCs w:val="22"/>
        </w:rPr>
        <w:t xml:space="preserve"> </w:t>
      </w:r>
      <w:r w:rsidRPr="7F1EE542">
        <w:rPr>
          <w:rFonts w:ascii="Calibri" w:eastAsia="Calibri" w:hAnsi="Calibri" w:cs="Calibri"/>
          <w:color w:val="000000" w:themeColor="text1"/>
          <w:sz w:val="22"/>
          <w:szCs w:val="22"/>
        </w:rPr>
        <w:t xml:space="preserve">or hypertension that they can't go on this particular regimen. I often, if I know a patient is already at risk for it or has controlled </w:t>
      </w:r>
      <w:r w:rsidR="00C06B35">
        <w:rPr>
          <w:rFonts w:ascii="Calibri" w:eastAsia="Calibri" w:hAnsi="Calibri" w:cs="Calibri"/>
          <w:color w:val="000000" w:themeColor="text1"/>
          <w:sz w:val="22"/>
          <w:szCs w:val="22"/>
        </w:rPr>
        <w:t>AFib</w:t>
      </w:r>
      <w:r w:rsidRPr="7F1EE542">
        <w:rPr>
          <w:rFonts w:ascii="Calibri" w:eastAsia="Calibri" w:hAnsi="Calibri" w:cs="Calibri"/>
          <w:color w:val="000000" w:themeColor="text1"/>
          <w:sz w:val="22"/>
          <w:szCs w:val="22"/>
        </w:rPr>
        <w:t xml:space="preserve"> or hypertension at baseline, we will do a multidisciplinary approach where I will refer that patient to our cardio-oncology program and say, "Hey, listen, this is the patient that we're looking to put on treatment with a BTKI. We know the necessary or associated risk with it. Can you please partner with us to ensure that their </w:t>
      </w:r>
      <w:r w:rsidR="00C06B35">
        <w:rPr>
          <w:rFonts w:ascii="Calibri" w:eastAsia="Calibri" w:hAnsi="Calibri" w:cs="Calibri"/>
          <w:color w:val="000000" w:themeColor="text1"/>
          <w:sz w:val="22"/>
          <w:szCs w:val="22"/>
        </w:rPr>
        <w:t>AFib</w:t>
      </w:r>
      <w:r w:rsidR="001A305B" w:rsidRPr="7F1EE542">
        <w:rPr>
          <w:rFonts w:ascii="Calibri" w:eastAsia="Calibri" w:hAnsi="Calibri" w:cs="Calibri"/>
          <w:color w:val="000000" w:themeColor="text1"/>
          <w:sz w:val="22"/>
          <w:szCs w:val="22"/>
        </w:rPr>
        <w:t xml:space="preserve"> </w:t>
      </w:r>
      <w:r w:rsidRPr="7F1EE542">
        <w:rPr>
          <w:rFonts w:ascii="Calibri" w:eastAsia="Calibri" w:hAnsi="Calibri" w:cs="Calibri"/>
          <w:color w:val="000000" w:themeColor="text1"/>
          <w:sz w:val="22"/>
          <w:szCs w:val="22"/>
        </w:rPr>
        <w:t>or their hypertension is controlled and is not getting worsened once they start treatment?" In terms of their GI side effects, nausea and diarrhea are probably the most common side effects that I as well see in clinical practice.</w:t>
      </w:r>
    </w:p>
    <w:p w14:paraId="2C538F4E" w14:textId="77777777" w:rsidR="002F56CB" w:rsidRDefault="002F56CB" w:rsidP="002F56CB">
      <w:pPr>
        <w:rPr>
          <w:rFonts w:ascii="Calibri" w:eastAsia="Calibri" w:hAnsi="Calibri" w:cs="Calibri"/>
          <w:color w:val="000000"/>
          <w:sz w:val="22"/>
        </w:rPr>
      </w:pPr>
    </w:p>
    <w:p w14:paraId="6F06CD98" w14:textId="40AC4804" w:rsidR="00A77B3E" w:rsidRDefault="00271134" w:rsidP="002F56CB">
      <w:pPr>
        <w:rPr>
          <w:rFonts w:ascii="Calibri" w:eastAsia="Calibri" w:hAnsi="Calibri" w:cs="Calibri"/>
          <w:color w:val="000000" w:themeColor="text1"/>
          <w:sz w:val="22"/>
          <w:szCs w:val="22"/>
        </w:rPr>
      </w:pPr>
      <w:r w:rsidRPr="7F1EE542">
        <w:rPr>
          <w:rFonts w:ascii="Calibri" w:eastAsia="Calibri" w:hAnsi="Calibri" w:cs="Calibri"/>
          <w:color w:val="000000" w:themeColor="text1"/>
          <w:sz w:val="22"/>
          <w:szCs w:val="22"/>
        </w:rPr>
        <w:t>Jamila, you probably see that as well. In terms of musculoskeletal issue, myalgias definitely is one. Depending upon the grade of the myalgia, that really is what's most important, right? So if you have a patient telling you that they have some muscle aches that are mild, that relie</w:t>
      </w:r>
      <w:r w:rsidR="03DF8D27" w:rsidRPr="7F1EE542">
        <w:rPr>
          <w:rFonts w:ascii="Calibri" w:eastAsia="Calibri" w:hAnsi="Calibri" w:cs="Calibri"/>
          <w:color w:val="000000" w:themeColor="text1"/>
          <w:sz w:val="22"/>
          <w:szCs w:val="22"/>
        </w:rPr>
        <w:t>ve</w:t>
      </w:r>
      <w:r w:rsidRPr="7F1EE542">
        <w:rPr>
          <w:rFonts w:ascii="Calibri" w:eastAsia="Calibri" w:hAnsi="Calibri" w:cs="Calibri"/>
          <w:color w:val="000000" w:themeColor="text1"/>
          <w:sz w:val="22"/>
          <w:szCs w:val="22"/>
        </w:rPr>
        <w:t xml:space="preserve"> with rest or let's say heat, that's okay. But if we're talking about grade </w:t>
      </w:r>
      <w:r w:rsidR="502303BA" w:rsidRPr="7F1EE542">
        <w:rPr>
          <w:rFonts w:ascii="Calibri" w:eastAsia="Calibri" w:hAnsi="Calibri" w:cs="Calibri"/>
          <w:color w:val="000000" w:themeColor="text1"/>
          <w:sz w:val="22"/>
          <w:szCs w:val="22"/>
        </w:rPr>
        <w:t>3</w:t>
      </w:r>
      <w:r w:rsidRPr="7F1EE542">
        <w:rPr>
          <w:rFonts w:ascii="Calibri" w:eastAsia="Calibri" w:hAnsi="Calibri" w:cs="Calibri"/>
          <w:color w:val="000000" w:themeColor="text1"/>
          <w:sz w:val="22"/>
          <w:szCs w:val="22"/>
        </w:rPr>
        <w:t xml:space="preserve"> or grade </w:t>
      </w:r>
      <w:r w:rsidR="3F09D33B" w:rsidRPr="7F1EE542">
        <w:rPr>
          <w:rFonts w:ascii="Calibri" w:eastAsia="Calibri" w:hAnsi="Calibri" w:cs="Calibri"/>
          <w:color w:val="000000" w:themeColor="text1"/>
          <w:sz w:val="22"/>
          <w:szCs w:val="22"/>
        </w:rPr>
        <w:t>4</w:t>
      </w:r>
      <w:r w:rsidRPr="7F1EE542">
        <w:rPr>
          <w:rFonts w:ascii="Calibri" w:eastAsia="Calibri" w:hAnsi="Calibri" w:cs="Calibri"/>
          <w:color w:val="000000" w:themeColor="text1"/>
          <w:sz w:val="22"/>
          <w:szCs w:val="22"/>
        </w:rPr>
        <w:t xml:space="preserve"> myalgias, which are really debilitating, that of course warrants us to take a step back and say, "Okay, do we need to hold treatment and then readjust?" Easy bruising is definitely one of the side effects that we see with acalabrutinib, and that goes hand in hand with some of the increased risk of bleeding. I will tell patients during their chemo teaches, once we start this medication, if you have any planned surgical procedures coming up, you do have to let us know. Because depending upon the severity of the surgical procedure, that will dictate if we hold acalabrutinib, how long we hold acalabrutinib.</w:t>
      </w:r>
    </w:p>
    <w:p w14:paraId="00C6051A" w14:textId="77777777" w:rsidR="002F56CB" w:rsidRDefault="002F56CB" w:rsidP="002F56CB">
      <w:pPr>
        <w:rPr>
          <w:rFonts w:ascii="Calibri" w:eastAsia="Calibri" w:hAnsi="Calibri" w:cs="Calibri"/>
          <w:color w:val="000000"/>
          <w:sz w:val="22"/>
        </w:rPr>
      </w:pPr>
    </w:p>
    <w:p w14:paraId="6F06CD9A" w14:textId="2C66DA00" w:rsidR="00A77B3E" w:rsidRDefault="00271134" w:rsidP="002F56CB">
      <w:pPr>
        <w:rPr>
          <w:rFonts w:ascii="Calibri" w:eastAsia="Calibri" w:hAnsi="Calibri" w:cs="Calibri"/>
          <w:color w:val="000000" w:themeColor="text1"/>
          <w:sz w:val="22"/>
          <w:szCs w:val="22"/>
        </w:rPr>
      </w:pPr>
      <w:r w:rsidRPr="7F1EE542">
        <w:rPr>
          <w:rFonts w:ascii="Calibri" w:eastAsia="Calibri" w:hAnsi="Calibri" w:cs="Calibri"/>
          <w:color w:val="000000" w:themeColor="text1"/>
          <w:sz w:val="22"/>
          <w:szCs w:val="22"/>
        </w:rPr>
        <w:t xml:space="preserve">So I have many patients, Jamila, you probably have this in your practice too, that have a lot of skin cancers, right? They just have a ton of basal cell and squamous cell. And so if they're going, let's say, for a Mohs procedure, we will educate them to hold the acalabrutinib 3 to 7 days before and 3 to 7 days after. Similarly, if they're going for a more invasive surgical procedure, it's a minimum of </w:t>
      </w:r>
      <w:r w:rsidR="0986B4A9" w:rsidRPr="7F1EE542">
        <w:rPr>
          <w:rFonts w:ascii="Calibri" w:eastAsia="Calibri" w:hAnsi="Calibri" w:cs="Calibri"/>
          <w:color w:val="000000" w:themeColor="text1"/>
          <w:sz w:val="22"/>
          <w:szCs w:val="22"/>
        </w:rPr>
        <w:t>7</w:t>
      </w:r>
      <w:r w:rsidRPr="7F1EE542">
        <w:rPr>
          <w:rFonts w:ascii="Calibri" w:eastAsia="Calibri" w:hAnsi="Calibri" w:cs="Calibri"/>
          <w:color w:val="000000" w:themeColor="text1"/>
          <w:sz w:val="22"/>
          <w:szCs w:val="22"/>
        </w:rPr>
        <w:t xml:space="preserve"> days before and </w:t>
      </w:r>
      <w:r w:rsidR="26EB31BB" w:rsidRPr="7F1EE542">
        <w:rPr>
          <w:rFonts w:ascii="Calibri" w:eastAsia="Calibri" w:hAnsi="Calibri" w:cs="Calibri"/>
          <w:color w:val="000000" w:themeColor="text1"/>
          <w:sz w:val="22"/>
          <w:szCs w:val="22"/>
        </w:rPr>
        <w:t>7</w:t>
      </w:r>
      <w:r w:rsidRPr="7F1EE542">
        <w:rPr>
          <w:rFonts w:ascii="Calibri" w:eastAsia="Calibri" w:hAnsi="Calibri" w:cs="Calibri"/>
          <w:color w:val="000000" w:themeColor="text1"/>
          <w:sz w:val="22"/>
          <w:szCs w:val="22"/>
        </w:rPr>
        <w:t xml:space="preserve"> days after to minimize that risk of bleeding during the surgery or postoperatively.</w:t>
      </w:r>
    </w:p>
    <w:p w14:paraId="1A07D55E" w14:textId="77777777" w:rsidR="00535DEA" w:rsidRDefault="00535DEA" w:rsidP="002F56CB">
      <w:pPr>
        <w:rPr>
          <w:rFonts w:ascii="Calibri" w:eastAsia="Calibri" w:hAnsi="Calibri" w:cs="Calibri"/>
          <w:color w:val="000000" w:themeColor="text1"/>
          <w:sz w:val="22"/>
          <w:szCs w:val="22"/>
        </w:rPr>
      </w:pPr>
    </w:p>
    <w:p w14:paraId="15C27D57" w14:textId="77777777" w:rsidR="00A90563" w:rsidRPr="00DE19AF" w:rsidRDefault="00A90563" w:rsidP="002F56CB">
      <w:pPr>
        <w:rPr>
          <w:rFonts w:ascii="Calibri" w:eastAsia="Calibri" w:hAnsi="Calibri" w:cs="Calibri"/>
          <w:b/>
          <w:bCs/>
          <w:color w:val="000000"/>
          <w:sz w:val="22"/>
        </w:rPr>
      </w:pPr>
      <w:r w:rsidRPr="00DE19AF">
        <w:rPr>
          <w:rFonts w:ascii="Calibri" w:eastAsia="Calibri" w:hAnsi="Calibri" w:cs="Calibri"/>
          <w:b/>
          <w:bCs/>
          <w:color w:val="000000"/>
          <w:sz w:val="22"/>
        </w:rPr>
        <w:t>Jamila Brutus</w:t>
      </w:r>
      <w:r>
        <w:rPr>
          <w:rFonts w:ascii="Calibri" w:eastAsia="Calibri" w:hAnsi="Calibri" w:cs="Calibri"/>
          <w:b/>
          <w:bCs/>
          <w:color w:val="000000"/>
          <w:sz w:val="22"/>
        </w:rPr>
        <w:t>:</w:t>
      </w:r>
    </w:p>
    <w:p w14:paraId="6F06CD9C" w14:textId="72EFA358" w:rsidR="00A77B3E" w:rsidRDefault="00271134" w:rsidP="002F56CB">
      <w:pPr>
        <w:rPr>
          <w:rFonts w:ascii="Calibri" w:eastAsia="Calibri" w:hAnsi="Calibri" w:cs="Calibri"/>
          <w:color w:val="000000" w:themeColor="text1"/>
          <w:sz w:val="22"/>
          <w:szCs w:val="22"/>
        </w:rPr>
      </w:pPr>
      <w:r w:rsidRPr="7F1EE542">
        <w:rPr>
          <w:rFonts w:ascii="Calibri" w:eastAsia="Calibri" w:hAnsi="Calibri" w:cs="Calibri"/>
          <w:color w:val="000000" w:themeColor="text1"/>
          <w:sz w:val="22"/>
          <w:szCs w:val="22"/>
        </w:rPr>
        <w:t>Yeah. Yes, and I agree, we usually educate our patients as well depending on the risk for bleeding with the procedure. If it's a very low</w:t>
      </w:r>
      <w:r w:rsidR="37005098" w:rsidRPr="7F1EE542">
        <w:rPr>
          <w:rFonts w:ascii="Calibri" w:eastAsia="Calibri" w:hAnsi="Calibri" w:cs="Calibri"/>
          <w:color w:val="000000" w:themeColor="text1"/>
          <w:sz w:val="22"/>
          <w:szCs w:val="22"/>
        </w:rPr>
        <w:t>-</w:t>
      </w:r>
      <w:r w:rsidRPr="7F1EE542">
        <w:rPr>
          <w:rFonts w:ascii="Calibri" w:eastAsia="Calibri" w:hAnsi="Calibri" w:cs="Calibri"/>
          <w:color w:val="000000" w:themeColor="text1"/>
          <w:sz w:val="22"/>
          <w:szCs w:val="22"/>
        </w:rPr>
        <w:t xml:space="preserve">risk procedure, then of course </w:t>
      </w:r>
      <w:r w:rsidR="0BCF6DD3" w:rsidRPr="7F1EE542">
        <w:rPr>
          <w:rFonts w:ascii="Calibri" w:eastAsia="Calibri" w:hAnsi="Calibri" w:cs="Calibri"/>
          <w:color w:val="000000" w:themeColor="text1"/>
          <w:sz w:val="22"/>
          <w:szCs w:val="22"/>
        </w:rPr>
        <w:t>3</w:t>
      </w:r>
      <w:r w:rsidRPr="7F1EE542">
        <w:rPr>
          <w:rFonts w:ascii="Calibri" w:eastAsia="Calibri" w:hAnsi="Calibri" w:cs="Calibri"/>
          <w:color w:val="000000" w:themeColor="text1"/>
          <w:sz w:val="22"/>
          <w:szCs w:val="22"/>
        </w:rPr>
        <w:t xml:space="preserve"> days prior, day of, and </w:t>
      </w:r>
      <w:r w:rsidR="255C84F8" w:rsidRPr="7F1EE542">
        <w:rPr>
          <w:rFonts w:ascii="Calibri" w:eastAsia="Calibri" w:hAnsi="Calibri" w:cs="Calibri"/>
          <w:color w:val="000000" w:themeColor="text1"/>
          <w:sz w:val="22"/>
          <w:szCs w:val="22"/>
        </w:rPr>
        <w:t>3</w:t>
      </w:r>
      <w:r w:rsidRPr="7F1EE542">
        <w:rPr>
          <w:rFonts w:ascii="Calibri" w:eastAsia="Calibri" w:hAnsi="Calibri" w:cs="Calibri"/>
          <w:color w:val="000000" w:themeColor="text1"/>
          <w:sz w:val="22"/>
          <w:szCs w:val="22"/>
        </w:rPr>
        <w:t xml:space="preserve"> days after. If it's a high</w:t>
      </w:r>
      <w:r w:rsidR="0412E6AA" w:rsidRPr="7F1EE542">
        <w:rPr>
          <w:rFonts w:ascii="Calibri" w:eastAsia="Calibri" w:hAnsi="Calibri" w:cs="Calibri"/>
          <w:color w:val="000000" w:themeColor="text1"/>
          <w:sz w:val="22"/>
          <w:szCs w:val="22"/>
        </w:rPr>
        <w:t>-</w:t>
      </w:r>
      <w:r w:rsidRPr="7F1EE542">
        <w:rPr>
          <w:rFonts w:ascii="Calibri" w:eastAsia="Calibri" w:hAnsi="Calibri" w:cs="Calibri"/>
          <w:color w:val="000000" w:themeColor="text1"/>
          <w:sz w:val="22"/>
          <w:szCs w:val="22"/>
        </w:rPr>
        <w:t xml:space="preserve">risk procedure, then </w:t>
      </w:r>
      <w:r w:rsidR="0563C12C" w:rsidRPr="7F1EE542">
        <w:rPr>
          <w:rFonts w:ascii="Calibri" w:eastAsia="Calibri" w:hAnsi="Calibri" w:cs="Calibri"/>
          <w:color w:val="000000" w:themeColor="text1"/>
          <w:sz w:val="22"/>
          <w:szCs w:val="22"/>
        </w:rPr>
        <w:t>7</w:t>
      </w:r>
      <w:r w:rsidRPr="7F1EE542">
        <w:rPr>
          <w:rFonts w:ascii="Calibri" w:eastAsia="Calibri" w:hAnsi="Calibri" w:cs="Calibri"/>
          <w:color w:val="000000" w:themeColor="text1"/>
          <w:sz w:val="22"/>
          <w:szCs w:val="22"/>
        </w:rPr>
        <w:t xml:space="preserve"> days prior, day of, and </w:t>
      </w:r>
      <w:r w:rsidR="7E2D373D" w:rsidRPr="7F1EE542">
        <w:rPr>
          <w:rFonts w:ascii="Calibri" w:eastAsia="Calibri" w:hAnsi="Calibri" w:cs="Calibri"/>
          <w:color w:val="000000" w:themeColor="text1"/>
          <w:sz w:val="22"/>
          <w:szCs w:val="22"/>
        </w:rPr>
        <w:t>7</w:t>
      </w:r>
      <w:r w:rsidRPr="7F1EE542">
        <w:rPr>
          <w:rFonts w:ascii="Calibri" w:eastAsia="Calibri" w:hAnsi="Calibri" w:cs="Calibri"/>
          <w:color w:val="000000" w:themeColor="text1"/>
          <w:sz w:val="22"/>
          <w:szCs w:val="22"/>
        </w:rPr>
        <w:t xml:space="preserve"> days after.</w:t>
      </w:r>
    </w:p>
    <w:p w14:paraId="13CEEEC3" w14:textId="77777777" w:rsidR="00535DEA" w:rsidRDefault="00535DEA" w:rsidP="002F56CB">
      <w:pPr>
        <w:rPr>
          <w:rFonts w:ascii="Calibri" w:eastAsia="Calibri" w:hAnsi="Calibri" w:cs="Calibri"/>
          <w:color w:val="000000"/>
          <w:sz w:val="22"/>
          <w:szCs w:val="22"/>
        </w:rPr>
      </w:pPr>
    </w:p>
    <w:p w14:paraId="7FE68875" w14:textId="77777777" w:rsidR="00DE19AF" w:rsidRPr="00DE19AF" w:rsidRDefault="00DE19AF" w:rsidP="002F56CB">
      <w:pPr>
        <w:rPr>
          <w:rFonts w:ascii="Calibri" w:eastAsia="Calibri" w:hAnsi="Calibri" w:cs="Calibri"/>
          <w:b/>
          <w:bCs/>
          <w:color w:val="000000"/>
          <w:sz w:val="22"/>
        </w:rPr>
      </w:pPr>
      <w:r w:rsidRPr="00DE19AF">
        <w:rPr>
          <w:rFonts w:ascii="Calibri" w:eastAsia="Calibri" w:hAnsi="Calibri" w:cs="Calibri"/>
          <w:b/>
          <w:bCs/>
          <w:color w:val="000000"/>
          <w:sz w:val="22"/>
        </w:rPr>
        <w:t>Mary DiLorenzo</w:t>
      </w:r>
      <w:r>
        <w:rPr>
          <w:rFonts w:ascii="Calibri" w:eastAsia="Calibri" w:hAnsi="Calibri" w:cs="Calibri"/>
          <w:b/>
          <w:bCs/>
          <w:color w:val="000000"/>
          <w:sz w:val="22"/>
        </w:rPr>
        <w:t>:</w:t>
      </w:r>
    </w:p>
    <w:p w14:paraId="6F06CD9E" w14:textId="1F6F91F0" w:rsidR="00A77B3E" w:rsidRDefault="00271134" w:rsidP="002F56CB">
      <w:pPr>
        <w:rPr>
          <w:rFonts w:ascii="Calibri" w:eastAsia="Calibri" w:hAnsi="Calibri" w:cs="Calibri"/>
          <w:color w:val="000000" w:themeColor="text1"/>
          <w:sz w:val="22"/>
          <w:szCs w:val="22"/>
        </w:rPr>
      </w:pPr>
      <w:r w:rsidRPr="7F1EE542">
        <w:rPr>
          <w:rFonts w:ascii="Calibri" w:eastAsia="Calibri" w:hAnsi="Calibri" w:cs="Calibri"/>
          <w:color w:val="000000" w:themeColor="text1"/>
          <w:sz w:val="22"/>
          <w:szCs w:val="22"/>
        </w:rPr>
        <w:t xml:space="preserve">So we're going to talk about a couple of things here in terms of AE management. So let's look at the risk assessment for the patient. TLS risk stratification is really, really important to know upfront. What is their tumor burden, right? What are the size of the lymph nodes? How high is their ALC? Is this a patient with CLL that has an ALC of 10,000 or is this a patient with CLL that has an ALC of 100,000? What is their renal function? All of that information when we combine it, allows the providers to make a judgment call on the risk of TLS, and what we need to do to protect that patient going forward. Cardiac history, of course, we want to know if that patient has </w:t>
      </w:r>
      <w:r w:rsidR="00C06B35">
        <w:rPr>
          <w:rFonts w:ascii="Calibri" w:eastAsia="Calibri" w:hAnsi="Calibri" w:cs="Calibri"/>
          <w:color w:val="000000" w:themeColor="text1"/>
          <w:sz w:val="22"/>
          <w:szCs w:val="22"/>
        </w:rPr>
        <w:t>AFib</w:t>
      </w:r>
      <w:r w:rsidRPr="7F1EE542">
        <w:rPr>
          <w:rFonts w:ascii="Calibri" w:eastAsia="Calibri" w:hAnsi="Calibri" w:cs="Calibri"/>
          <w:color w:val="000000" w:themeColor="text1"/>
          <w:sz w:val="22"/>
          <w:szCs w:val="22"/>
        </w:rPr>
        <w:t>. We want to know if that patient has hypertension. Even for those patients that don't have it, we discuss that there is a risk of developing it, but because we're keeping such a close eye on them, we're able to deal with that in the event that it should occur safely.</w:t>
      </w:r>
    </w:p>
    <w:p w14:paraId="7824A47A" w14:textId="77777777" w:rsidR="002F56CB" w:rsidRDefault="002F56CB" w:rsidP="002F56CB">
      <w:pPr>
        <w:rPr>
          <w:rFonts w:ascii="Calibri" w:eastAsia="Calibri" w:hAnsi="Calibri" w:cs="Calibri"/>
          <w:color w:val="000000"/>
          <w:sz w:val="22"/>
        </w:rPr>
      </w:pPr>
    </w:p>
    <w:p w14:paraId="6F06CDA0" w14:textId="2F700961" w:rsidR="00A77B3E" w:rsidRDefault="00271134" w:rsidP="002F56CB">
      <w:pPr>
        <w:rPr>
          <w:rFonts w:ascii="Calibri" w:eastAsia="Calibri" w:hAnsi="Calibri" w:cs="Calibri"/>
          <w:color w:val="000000"/>
          <w:sz w:val="22"/>
          <w:szCs w:val="22"/>
        </w:rPr>
      </w:pPr>
      <w:r w:rsidRPr="7F1EE542">
        <w:rPr>
          <w:rFonts w:ascii="Calibri" w:eastAsia="Calibri" w:hAnsi="Calibri" w:cs="Calibri"/>
          <w:color w:val="000000" w:themeColor="text1"/>
          <w:sz w:val="22"/>
          <w:szCs w:val="22"/>
        </w:rPr>
        <w:t xml:space="preserve">Bleeding risk, obviously if these patients are on other anticoagulants or antiplatelets, we need to discuss that upfront. I have patients that come into me that are on Eliquis or they're on blood thinners for a previous stroke. And so we really need to work closely with our colleagues like in cardiology to make sure that we're not putting this patient at increased risk and ensuring we're doing what's best in terms of minimizing their side effect profile. Infection history, many of our patients, I'm sure you see this, </w:t>
      </w:r>
      <w:r w:rsidRPr="7F1EE542">
        <w:rPr>
          <w:rFonts w:ascii="Calibri" w:eastAsia="Calibri" w:hAnsi="Calibri" w:cs="Calibri"/>
          <w:color w:val="000000" w:themeColor="text1"/>
          <w:sz w:val="22"/>
          <w:szCs w:val="22"/>
        </w:rPr>
        <w:lastRenderedPageBreak/>
        <w:t>Jamila, in your practice as well with CLL, especially if they've had this simmering CLL for years where they haven't really checked the box to get treated yet, but they're having some of the symptoms because of it. And so they have these recurrent URIs, they have this recurrent sinusitis. They have a cough that lingers for six months.</w:t>
      </w:r>
    </w:p>
    <w:p w14:paraId="02697B61" w14:textId="77777777" w:rsidR="002F56CB" w:rsidRDefault="002F56CB" w:rsidP="002F56CB">
      <w:pPr>
        <w:rPr>
          <w:rFonts w:ascii="Calibri" w:eastAsia="Calibri" w:hAnsi="Calibri" w:cs="Calibri"/>
          <w:color w:val="000000"/>
          <w:sz w:val="22"/>
        </w:rPr>
      </w:pPr>
    </w:p>
    <w:p w14:paraId="6F06CDA2" w14:textId="7173CC17" w:rsidR="00A77B3E" w:rsidRDefault="00271134" w:rsidP="002F56CB">
      <w:pPr>
        <w:rPr>
          <w:rFonts w:ascii="Calibri" w:eastAsia="Calibri" w:hAnsi="Calibri" w:cs="Calibri"/>
          <w:color w:val="000000"/>
          <w:sz w:val="22"/>
        </w:rPr>
      </w:pPr>
      <w:r>
        <w:rPr>
          <w:rFonts w:ascii="Calibri" w:eastAsia="Calibri" w:hAnsi="Calibri" w:cs="Calibri"/>
          <w:color w:val="000000"/>
          <w:sz w:val="22"/>
        </w:rPr>
        <w:t>And so really just paying close attention to the history of the patient to see or to know what to expect in the months following treatment initiation. Baseline labs, I mean, that's another huge one, right? Like what we said before, what is their CBC? What does their CMP look like? Is this someone coming in with comorbidities like renal insufficiency? Do they have diabetes which is compromising their kidneys? What about their Hep B status? All of these things we have to take into account in order to keep these patients safe. Prophylaxis varies. I agree. Jamila, what do you do? We always do valacyclovir, right? We do that HSV prophylaxis in everyone. We definitely encourage hydration before and during the initiation of venetoclax. Allopurinol, yes, if they have a high disease burden or tumor burden. PJP prophylaxis I think really depends on if they have some sort of need to go on Bactrim.</w:t>
      </w:r>
    </w:p>
    <w:p w14:paraId="18BB4164" w14:textId="77777777" w:rsidR="00535DEA" w:rsidRDefault="00535DEA" w:rsidP="002F56CB">
      <w:pPr>
        <w:rPr>
          <w:rFonts w:ascii="Calibri" w:eastAsia="Calibri" w:hAnsi="Calibri" w:cs="Calibri"/>
          <w:color w:val="000000"/>
          <w:sz w:val="22"/>
        </w:rPr>
      </w:pPr>
    </w:p>
    <w:p w14:paraId="6AD95047" w14:textId="77777777" w:rsidR="00A90563" w:rsidRPr="00DE19AF" w:rsidRDefault="00A90563" w:rsidP="002F56CB">
      <w:pPr>
        <w:rPr>
          <w:rFonts w:ascii="Calibri" w:eastAsia="Calibri" w:hAnsi="Calibri" w:cs="Calibri"/>
          <w:b/>
          <w:bCs/>
          <w:color w:val="000000"/>
          <w:sz w:val="22"/>
        </w:rPr>
      </w:pPr>
      <w:r w:rsidRPr="00DE19AF">
        <w:rPr>
          <w:rFonts w:ascii="Calibri" w:eastAsia="Calibri" w:hAnsi="Calibri" w:cs="Calibri"/>
          <w:b/>
          <w:bCs/>
          <w:color w:val="000000"/>
          <w:sz w:val="22"/>
        </w:rPr>
        <w:t>Jamila Brutus</w:t>
      </w:r>
      <w:r>
        <w:rPr>
          <w:rFonts w:ascii="Calibri" w:eastAsia="Calibri" w:hAnsi="Calibri" w:cs="Calibri"/>
          <w:b/>
          <w:bCs/>
          <w:color w:val="000000"/>
          <w:sz w:val="22"/>
        </w:rPr>
        <w:t>:</w:t>
      </w:r>
    </w:p>
    <w:p w14:paraId="6F06CDA7" w14:textId="23104BF7" w:rsidR="00A77B3E" w:rsidRDefault="00271134" w:rsidP="002F56CB">
      <w:pPr>
        <w:rPr>
          <w:rFonts w:ascii="Calibri" w:eastAsia="Calibri" w:hAnsi="Calibri" w:cs="Calibri"/>
          <w:color w:val="000000"/>
          <w:sz w:val="22"/>
        </w:rPr>
      </w:pPr>
      <w:r>
        <w:rPr>
          <w:rFonts w:ascii="Calibri" w:eastAsia="Calibri" w:hAnsi="Calibri" w:cs="Calibri"/>
          <w:color w:val="000000"/>
          <w:sz w:val="22"/>
        </w:rPr>
        <w:t>Yes, no, I agree. We usually don't prescribe PJP prophylaxis unless for some reason a patient, like you mentioned, that has a history where they need to be on this regimen or if they're on prolonged doses of steroids, then they would require PJP prophylaxis. But we definitely for our patients with acyclovir and allopurinol. It doesn't matter the tumor lysis risk. It could be low risk, it could be high risk. We always put our patients on allopurinol because it's such a benign medication.</w:t>
      </w:r>
    </w:p>
    <w:p w14:paraId="62DF70C2" w14:textId="77777777" w:rsidR="002F56CB" w:rsidRDefault="002F56CB" w:rsidP="002F56CB">
      <w:pPr>
        <w:rPr>
          <w:rFonts w:ascii="Calibri" w:eastAsia="Calibri" w:hAnsi="Calibri" w:cs="Calibri"/>
          <w:color w:val="000000"/>
          <w:sz w:val="22"/>
        </w:rPr>
      </w:pPr>
    </w:p>
    <w:p w14:paraId="6F06CDA8" w14:textId="7234353A" w:rsidR="00A77B3E" w:rsidRDefault="00271134" w:rsidP="002F56CB">
      <w:pPr>
        <w:rPr>
          <w:rFonts w:ascii="Calibri" w:eastAsia="Calibri" w:hAnsi="Calibri" w:cs="Calibri"/>
          <w:color w:val="000000" w:themeColor="text1"/>
          <w:sz w:val="22"/>
          <w:szCs w:val="22"/>
        </w:rPr>
      </w:pPr>
      <w:r w:rsidRPr="2DF0EA69">
        <w:rPr>
          <w:rFonts w:ascii="Calibri" w:eastAsia="Calibri" w:hAnsi="Calibri" w:cs="Calibri"/>
          <w:color w:val="000000" w:themeColor="text1"/>
          <w:sz w:val="22"/>
          <w:szCs w:val="22"/>
        </w:rPr>
        <w:t>They're usually very well tolerated. So we usually just err on the safe side and start our patient on allopurinol. So we also do similar baseline testing where we do CBC with differentiation, C</w:t>
      </w:r>
      <w:r w:rsidR="510D94DE" w:rsidRPr="2DF0EA69">
        <w:rPr>
          <w:rFonts w:ascii="Calibri" w:eastAsia="Calibri" w:hAnsi="Calibri" w:cs="Calibri"/>
          <w:color w:val="000000" w:themeColor="text1"/>
          <w:sz w:val="22"/>
          <w:szCs w:val="22"/>
        </w:rPr>
        <w:t>M</w:t>
      </w:r>
      <w:r w:rsidRPr="2DF0EA69">
        <w:rPr>
          <w:rFonts w:ascii="Calibri" w:eastAsia="Calibri" w:hAnsi="Calibri" w:cs="Calibri"/>
          <w:color w:val="000000" w:themeColor="text1"/>
          <w:sz w:val="22"/>
          <w:szCs w:val="22"/>
        </w:rPr>
        <w:t>P uric acid testing. And we also check for Hep B testing as well. With acalabrutinib, there's a very, very low risk for Hep B reactivation, but still if our patient is Hep B core</w:t>
      </w:r>
      <w:r w:rsidR="00AF4D23" w:rsidRPr="2DF0EA69">
        <w:rPr>
          <w:rFonts w:ascii="Calibri" w:eastAsia="Calibri" w:hAnsi="Calibri" w:cs="Calibri"/>
          <w:color w:val="000000" w:themeColor="text1"/>
          <w:sz w:val="22"/>
          <w:szCs w:val="22"/>
        </w:rPr>
        <w:t>-</w:t>
      </w:r>
      <w:r w:rsidRPr="2DF0EA69">
        <w:rPr>
          <w:rFonts w:ascii="Calibri" w:eastAsia="Calibri" w:hAnsi="Calibri" w:cs="Calibri"/>
          <w:color w:val="000000" w:themeColor="text1"/>
          <w:sz w:val="22"/>
          <w:szCs w:val="22"/>
        </w:rPr>
        <w:t xml:space="preserve">positive, we will still start them on entecavir. And as far as a risk stratification, very similar where we risk stratify for tumor lysis. As I mentioned in the previous slides, we usually do baseline imaging to assess for their lymph node signs to determine their tumor lysis risks. Cardiac histories is very, very important. Although with this generation of medication, generation of BTK inhibitors, </w:t>
      </w:r>
      <w:r w:rsidR="00C06B35">
        <w:rPr>
          <w:rFonts w:ascii="Calibri" w:eastAsia="Calibri" w:hAnsi="Calibri" w:cs="Calibri"/>
          <w:color w:val="000000" w:themeColor="text1"/>
          <w:sz w:val="22"/>
          <w:szCs w:val="22"/>
        </w:rPr>
        <w:t>AFib</w:t>
      </w:r>
      <w:r w:rsidRPr="2DF0EA69">
        <w:rPr>
          <w:rFonts w:ascii="Calibri" w:eastAsia="Calibri" w:hAnsi="Calibri" w:cs="Calibri"/>
          <w:color w:val="000000" w:themeColor="text1"/>
          <w:sz w:val="22"/>
          <w:szCs w:val="22"/>
        </w:rPr>
        <w:t xml:space="preserve"> is usually very, very low compared to the first generations of BTK inhibitor.</w:t>
      </w:r>
    </w:p>
    <w:p w14:paraId="3CACA4AD" w14:textId="77777777" w:rsidR="00535DEA" w:rsidRDefault="00535DEA" w:rsidP="002F56CB">
      <w:pPr>
        <w:rPr>
          <w:rFonts w:ascii="Calibri" w:eastAsia="Calibri" w:hAnsi="Calibri" w:cs="Calibri"/>
          <w:color w:val="000000"/>
          <w:sz w:val="22"/>
          <w:szCs w:val="22"/>
        </w:rPr>
      </w:pPr>
    </w:p>
    <w:p w14:paraId="21AE83D7" w14:textId="77777777" w:rsidR="00A90563" w:rsidRPr="00DE19AF" w:rsidRDefault="00A90563" w:rsidP="002F56CB">
      <w:pPr>
        <w:rPr>
          <w:rFonts w:ascii="Calibri" w:eastAsia="Calibri" w:hAnsi="Calibri" w:cs="Calibri"/>
          <w:b/>
          <w:bCs/>
          <w:color w:val="000000"/>
          <w:sz w:val="22"/>
        </w:rPr>
      </w:pPr>
      <w:r w:rsidRPr="00DE19AF">
        <w:rPr>
          <w:rFonts w:ascii="Calibri" w:eastAsia="Calibri" w:hAnsi="Calibri" w:cs="Calibri"/>
          <w:b/>
          <w:bCs/>
          <w:color w:val="000000"/>
          <w:sz w:val="22"/>
        </w:rPr>
        <w:t>Mary DiLorenzo</w:t>
      </w:r>
      <w:r>
        <w:rPr>
          <w:rFonts w:ascii="Calibri" w:eastAsia="Calibri" w:hAnsi="Calibri" w:cs="Calibri"/>
          <w:b/>
          <w:bCs/>
          <w:color w:val="000000"/>
          <w:sz w:val="22"/>
        </w:rPr>
        <w:t>:</w:t>
      </w:r>
    </w:p>
    <w:p w14:paraId="6F06CDAA" w14:textId="77777777" w:rsidR="00A77B3E" w:rsidRDefault="00271134" w:rsidP="002F56CB">
      <w:pPr>
        <w:rPr>
          <w:rFonts w:ascii="Calibri" w:eastAsia="Calibri" w:hAnsi="Calibri" w:cs="Calibri"/>
          <w:color w:val="000000"/>
          <w:sz w:val="22"/>
        </w:rPr>
      </w:pPr>
      <w:r>
        <w:rPr>
          <w:rFonts w:ascii="Calibri" w:eastAsia="Calibri" w:hAnsi="Calibri" w:cs="Calibri"/>
          <w:color w:val="000000"/>
          <w:sz w:val="22"/>
        </w:rPr>
        <w:t>So we also have to talk about how we manage overlapping toxicity. So let's first talk about cytopenias. We never know if the cytopenia is related to their CLL or is it related to the drug that they're on. And so what we have to do is err on the side of caution and hold the most myelosuppressive agent first, which in this case would be the venetoclax. You can give supportive growth factor like G-CSF. You absolutely can transfuse as needed. In the world of malignant heme, in the world of CLL, absolutely we expect some of these patients to have infections coming to us before they get treated and potentially some infections while they're on therapy. The most important thing to remind patients is that we need to know if they develop a fever of 100.4 or greater. That is really the magic number for us in the HEME space to call us day or night to let us know if that fever does occur.</w:t>
      </w:r>
    </w:p>
    <w:p w14:paraId="578F92E7" w14:textId="77777777" w:rsidR="002F56CB" w:rsidRDefault="002F56CB" w:rsidP="002F56CB">
      <w:pPr>
        <w:rPr>
          <w:rFonts w:ascii="Calibri" w:eastAsia="Calibri" w:hAnsi="Calibri" w:cs="Calibri"/>
          <w:color w:val="000000"/>
          <w:sz w:val="22"/>
        </w:rPr>
      </w:pPr>
    </w:p>
    <w:p w14:paraId="6F06CDAC" w14:textId="58B6389B" w:rsidR="00A77B3E" w:rsidRDefault="00271134" w:rsidP="002F56CB">
      <w:pPr>
        <w:rPr>
          <w:rFonts w:ascii="Calibri" w:eastAsia="Calibri" w:hAnsi="Calibri" w:cs="Calibri"/>
          <w:color w:val="000000" w:themeColor="text1"/>
          <w:sz w:val="22"/>
          <w:szCs w:val="22"/>
        </w:rPr>
      </w:pPr>
      <w:r w:rsidRPr="7F1EE542">
        <w:rPr>
          <w:rFonts w:ascii="Calibri" w:eastAsia="Calibri" w:hAnsi="Calibri" w:cs="Calibri"/>
          <w:color w:val="000000" w:themeColor="text1"/>
          <w:sz w:val="22"/>
          <w:szCs w:val="22"/>
        </w:rPr>
        <w:t xml:space="preserve">Even more important to know if they are neutropenic when that fever's happening, right? So if you have a patient who fevers with a normal ANC, yes, it needs to be evaluated, but not quite as urgently as a patient that calls you at </w:t>
      </w:r>
      <w:r w:rsidR="793E4C1E" w:rsidRPr="7F1EE542">
        <w:rPr>
          <w:rFonts w:ascii="Calibri" w:eastAsia="Calibri" w:hAnsi="Calibri" w:cs="Calibri"/>
          <w:color w:val="000000" w:themeColor="text1"/>
          <w:sz w:val="22"/>
          <w:szCs w:val="22"/>
        </w:rPr>
        <w:t>4</w:t>
      </w:r>
      <w:r w:rsidRPr="7F1EE542">
        <w:rPr>
          <w:rFonts w:ascii="Calibri" w:eastAsia="Calibri" w:hAnsi="Calibri" w:cs="Calibri"/>
          <w:color w:val="000000" w:themeColor="text1"/>
          <w:sz w:val="22"/>
          <w:szCs w:val="22"/>
        </w:rPr>
        <w:t xml:space="preserve"> o'clock in the afternoon or 4:00 AM in the morning for that matter with a fever of 100.4 and an ANC of less than 500. Those patients would absolutely require urgent monitoring and evaluation. They would go on broad</w:t>
      </w:r>
      <w:r w:rsidR="1B316453" w:rsidRPr="7F1EE542">
        <w:rPr>
          <w:rFonts w:ascii="Calibri" w:eastAsia="Calibri" w:hAnsi="Calibri" w:cs="Calibri"/>
          <w:color w:val="000000" w:themeColor="text1"/>
          <w:sz w:val="22"/>
          <w:szCs w:val="22"/>
        </w:rPr>
        <w:t>-</w:t>
      </w:r>
      <w:r w:rsidRPr="7F1EE542">
        <w:rPr>
          <w:rFonts w:ascii="Calibri" w:eastAsia="Calibri" w:hAnsi="Calibri" w:cs="Calibri"/>
          <w:color w:val="000000" w:themeColor="text1"/>
          <w:sz w:val="22"/>
          <w:szCs w:val="22"/>
        </w:rPr>
        <w:t>spectrum antivirals, antibacterials. And also we would hold therapy, right? So this is a situation where they would be admitted into the hospital for neutropenic fever and we would hold their therapy until we got the underlying cause of the fever and then obviously resume once they're out. Fatigue is the most frustrating thing for us as providers and most importantly for our patients. Oftentimes, fatigue is the only symptom or side effect that they're having.</w:t>
      </w:r>
    </w:p>
    <w:p w14:paraId="0718D298" w14:textId="77777777" w:rsidR="002F56CB" w:rsidRDefault="002F56CB" w:rsidP="002F56CB">
      <w:pPr>
        <w:rPr>
          <w:rFonts w:ascii="Calibri" w:eastAsia="Calibri" w:hAnsi="Calibri" w:cs="Calibri"/>
          <w:color w:val="000000"/>
          <w:sz w:val="22"/>
        </w:rPr>
      </w:pPr>
    </w:p>
    <w:p w14:paraId="6F06CDAE" w14:textId="186F7644" w:rsidR="00A77B3E" w:rsidRDefault="00271134" w:rsidP="002F56CB">
      <w:pPr>
        <w:rPr>
          <w:rFonts w:ascii="Calibri" w:eastAsia="Calibri" w:hAnsi="Calibri" w:cs="Calibri"/>
          <w:color w:val="000000"/>
          <w:sz w:val="22"/>
          <w:szCs w:val="22"/>
        </w:rPr>
      </w:pPr>
      <w:r w:rsidRPr="7F1EE542">
        <w:rPr>
          <w:rFonts w:ascii="Calibri" w:eastAsia="Calibri" w:hAnsi="Calibri" w:cs="Calibri"/>
          <w:color w:val="000000" w:themeColor="text1"/>
          <w:sz w:val="22"/>
          <w:szCs w:val="22"/>
        </w:rPr>
        <w:t>I had a gentleman in my practice last week and he's been complaining of debilitating fatigue for a year. And I was begging, begging him to go on treatment because really his numbers weren't that awful. And his B symptoms, other than fatigue, were nonexistent, but he actually had to leave his job because he could not function. He was sleeping 16, 17 hours a day and had horrible brain fog when he was up because of it. And so finally we convinced him, we said, "Listen, we really think you're going to feel like a human again once we get you on treatment and we control your CLL." There's no point in treating these patients if they can't resume most of the activities that they were doing when they were healthy and feeling well. And so that's why advocating for them and talking with them in clinic to ensure that we are all aligning on the same goal and that's to get their disease in remission and to thrive once that remission occurs.</w:t>
      </w:r>
    </w:p>
    <w:p w14:paraId="1A71A546" w14:textId="77777777" w:rsidR="002F56CB" w:rsidRDefault="002F56CB" w:rsidP="002F56CB">
      <w:pPr>
        <w:rPr>
          <w:rFonts w:ascii="Calibri" w:eastAsia="Calibri" w:hAnsi="Calibri" w:cs="Calibri"/>
          <w:color w:val="000000"/>
          <w:sz w:val="22"/>
        </w:rPr>
      </w:pPr>
    </w:p>
    <w:p w14:paraId="6F06CDB0" w14:textId="5633C0A0" w:rsidR="00A77B3E" w:rsidRDefault="00271134" w:rsidP="002F56CB">
      <w:pPr>
        <w:rPr>
          <w:rFonts w:ascii="Calibri" w:eastAsia="Calibri" w:hAnsi="Calibri" w:cs="Calibri"/>
          <w:color w:val="000000"/>
          <w:sz w:val="22"/>
          <w:szCs w:val="22"/>
        </w:rPr>
      </w:pPr>
      <w:r w:rsidRPr="7F1EE542">
        <w:rPr>
          <w:rFonts w:ascii="Calibri" w:eastAsia="Calibri" w:hAnsi="Calibri" w:cs="Calibri"/>
          <w:color w:val="000000" w:themeColor="text1"/>
          <w:sz w:val="22"/>
          <w:szCs w:val="22"/>
        </w:rPr>
        <w:t>In terms of nausea and diarrhea, as we said before, these are common side effects. We first have to rule out infections, so we will send a C. diff test along with a GI BioFire to make sure that there's not an infectious etiology. As long as it's not, then we can give the patients anti-diarrhea</w:t>
      </w:r>
      <w:r w:rsidR="7D06DCBA" w:rsidRPr="7F1EE542">
        <w:rPr>
          <w:rFonts w:ascii="Calibri" w:eastAsia="Calibri" w:hAnsi="Calibri" w:cs="Calibri"/>
          <w:color w:val="000000" w:themeColor="text1"/>
          <w:sz w:val="22"/>
          <w:szCs w:val="22"/>
        </w:rPr>
        <w:t>l</w:t>
      </w:r>
      <w:r w:rsidRPr="7F1EE542">
        <w:rPr>
          <w:rFonts w:ascii="Calibri" w:eastAsia="Calibri" w:hAnsi="Calibri" w:cs="Calibri"/>
          <w:color w:val="000000" w:themeColor="text1"/>
          <w:sz w:val="22"/>
          <w:szCs w:val="22"/>
        </w:rPr>
        <w:t xml:space="preserve">s. We can give them Imodium, we can give Lomotil to try to mitigate that side effect. Of course, if they're grade </w:t>
      </w:r>
      <w:r w:rsidR="76B74E92" w:rsidRPr="7F1EE542">
        <w:rPr>
          <w:rFonts w:ascii="Calibri" w:eastAsia="Calibri" w:hAnsi="Calibri" w:cs="Calibri"/>
          <w:color w:val="000000" w:themeColor="text1"/>
          <w:sz w:val="22"/>
          <w:szCs w:val="22"/>
        </w:rPr>
        <w:t>3</w:t>
      </w:r>
      <w:r w:rsidRPr="7F1EE542">
        <w:rPr>
          <w:rFonts w:ascii="Calibri" w:eastAsia="Calibri" w:hAnsi="Calibri" w:cs="Calibri"/>
          <w:color w:val="000000" w:themeColor="text1"/>
          <w:sz w:val="22"/>
          <w:szCs w:val="22"/>
        </w:rPr>
        <w:t xml:space="preserve"> or higher, we're going to have a conversation with the patient. We may have to hold or dose</w:t>
      </w:r>
      <w:r w:rsidR="101175BD" w:rsidRPr="7F1EE542">
        <w:rPr>
          <w:rFonts w:ascii="Calibri" w:eastAsia="Calibri" w:hAnsi="Calibri" w:cs="Calibri"/>
          <w:color w:val="000000" w:themeColor="text1"/>
          <w:sz w:val="22"/>
          <w:szCs w:val="22"/>
        </w:rPr>
        <w:t>-</w:t>
      </w:r>
      <w:r w:rsidRPr="7F1EE542">
        <w:rPr>
          <w:rFonts w:ascii="Calibri" w:eastAsia="Calibri" w:hAnsi="Calibri" w:cs="Calibri"/>
          <w:color w:val="000000" w:themeColor="text1"/>
          <w:sz w:val="22"/>
          <w:szCs w:val="22"/>
        </w:rPr>
        <w:t>reduce going forward. Headaches, very common for the first couple of weeks of treatment with acalabrutinib. Absolutely improved with Tylenol or caffeine, and really, really, really reassure the patient to let them know that once they're on treatment for at least a month or so, that headache profile really diminishes almost completely. Myalgia is based on the severity as we stated before.</w:t>
      </w:r>
    </w:p>
    <w:p w14:paraId="0E56F05C" w14:textId="77777777" w:rsidR="002F56CB" w:rsidRDefault="002F56CB" w:rsidP="002F56CB">
      <w:pPr>
        <w:rPr>
          <w:rFonts w:ascii="Calibri" w:eastAsia="Calibri" w:hAnsi="Calibri" w:cs="Calibri"/>
          <w:color w:val="000000"/>
          <w:sz w:val="22"/>
        </w:rPr>
      </w:pPr>
    </w:p>
    <w:p w14:paraId="1FE2DD3C" w14:textId="4A4A61B7" w:rsidR="00A77B3E" w:rsidRDefault="00271134" w:rsidP="002F56CB">
      <w:r w:rsidRPr="2DF0EA69">
        <w:rPr>
          <w:rFonts w:ascii="Calibri" w:eastAsia="Calibri" w:hAnsi="Calibri" w:cs="Calibri"/>
          <w:color w:val="000000" w:themeColor="text1"/>
          <w:sz w:val="22"/>
          <w:szCs w:val="22"/>
        </w:rPr>
        <w:t>So if there's mild myalgias that's relieved with rest or some Tylenol or some heat therapy, that's okay. But if we're starting to get to the point where these patients are almost feeling like they have the flu every day, we really need to consider dose</w:t>
      </w:r>
      <w:r w:rsidR="4BAD2219" w:rsidRPr="2DF0EA69">
        <w:rPr>
          <w:rFonts w:ascii="Calibri" w:eastAsia="Calibri" w:hAnsi="Calibri" w:cs="Calibri"/>
          <w:color w:val="000000" w:themeColor="text1"/>
          <w:sz w:val="22"/>
          <w:szCs w:val="22"/>
        </w:rPr>
        <w:t>-</w:t>
      </w:r>
      <w:r w:rsidRPr="2DF0EA69">
        <w:rPr>
          <w:rFonts w:ascii="Calibri" w:eastAsia="Calibri" w:hAnsi="Calibri" w:cs="Calibri"/>
          <w:color w:val="000000" w:themeColor="text1"/>
          <w:sz w:val="22"/>
          <w:szCs w:val="22"/>
        </w:rPr>
        <w:t xml:space="preserve">reducing or holding treatment as well. </w:t>
      </w:r>
    </w:p>
    <w:p w14:paraId="213F17A3" w14:textId="3CCA497E" w:rsidR="00A77B3E" w:rsidRDefault="00A77B3E" w:rsidP="2DF0EA69">
      <w:pPr>
        <w:rPr>
          <w:rFonts w:ascii="Calibri" w:eastAsia="Calibri" w:hAnsi="Calibri" w:cs="Calibri"/>
          <w:color w:val="000000" w:themeColor="text1"/>
          <w:sz w:val="22"/>
          <w:szCs w:val="22"/>
        </w:rPr>
      </w:pPr>
    </w:p>
    <w:p w14:paraId="5CF095B7" w14:textId="62D5A174" w:rsidR="00A77B3E" w:rsidRDefault="00271134" w:rsidP="002F56CB">
      <w:r w:rsidRPr="2DF0EA69">
        <w:rPr>
          <w:rFonts w:ascii="Calibri" w:eastAsia="Calibri" w:hAnsi="Calibri" w:cs="Calibri"/>
          <w:color w:val="000000" w:themeColor="text1"/>
          <w:sz w:val="22"/>
          <w:szCs w:val="22"/>
        </w:rPr>
        <w:t xml:space="preserve">So here we are at a polling question. </w:t>
      </w:r>
    </w:p>
    <w:p w14:paraId="14F17E9C" w14:textId="62FA37D2" w:rsidR="00A77B3E" w:rsidRDefault="00271134" w:rsidP="002F56CB">
      <w:r w:rsidRPr="2DF0EA69">
        <w:rPr>
          <w:rFonts w:ascii="Calibri" w:eastAsia="Calibri" w:hAnsi="Calibri" w:cs="Calibri"/>
          <w:color w:val="000000" w:themeColor="text1"/>
          <w:sz w:val="22"/>
          <w:szCs w:val="22"/>
        </w:rPr>
        <w:t xml:space="preserve">What AE do you find the most difficult to treat for patients with CLL undergoing combination treatment with AV? </w:t>
      </w:r>
    </w:p>
    <w:p w14:paraId="487C8258" w14:textId="191767FD" w:rsidR="00A77B3E" w:rsidRDefault="00271134" w:rsidP="2DF0EA69">
      <w:pPr>
        <w:pStyle w:val="ListParagraph"/>
        <w:numPr>
          <w:ilvl w:val="0"/>
          <w:numId w:val="1"/>
        </w:numPr>
        <w:rPr>
          <w:rFonts w:ascii="Calibri" w:eastAsia="Calibri" w:hAnsi="Calibri" w:cs="Calibri"/>
          <w:color w:val="000000" w:themeColor="text1"/>
          <w:sz w:val="22"/>
          <w:szCs w:val="22"/>
        </w:rPr>
      </w:pPr>
      <w:r w:rsidRPr="2DF0EA69">
        <w:rPr>
          <w:rFonts w:ascii="Calibri" w:eastAsia="Calibri" w:hAnsi="Calibri" w:cs="Calibri"/>
          <w:color w:val="000000" w:themeColor="text1"/>
          <w:sz w:val="22"/>
          <w:szCs w:val="22"/>
        </w:rPr>
        <w:t xml:space="preserve">Headaches, infections, nausea and diarrhea, myalgias, cytopenias, fatigue. </w:t>
      </w:r>
    </w:p>
    <w:p w14:paraId="6F06CDB2" w14:textId="575A0850" w:rsidR="00A77B3E" w:rsidRDefault="00271134" w:rsidP="002F56CB">
      <w:pPr>
        <w:rPr>
          <w:rFonts w:ascii="Calibri" w:eastAsia="Calibri" w:hAnsi="Calibri" w:cs="Calibri"/>
          <w:color w:val="000000" w:themeColor="text1"/>
          <w:sz w:val="22"/>
          <w:szCs w:val="22"/>
        </w:rPr>
      </w:pPr>
      <w:r w:rsidRPr="2DF0EA69">
        <w:rPr>
          <w:rFonts w:ascii="Calibri" w:eastAsia="Calibri" w:hAnsi="Calibri" w:cs="Calibri"/>
          <w:color w:val="000000" w:themeColor="text1"/>
          <w:sz w:val="22"/>
          <w:szCs w:val="22"/>
        </w:rPr>
        <w:t>It's fatigue for me. I don't know what it is for you, Jamila, because it really is the one that is the most challenging to get ahold of and takes the longest to resolve.</w:t>
      </w:r>
    </w:p>
    <w:p w14:paraId="2DB22A14" w14:textId="77777777" w:rsidR="00535DEA" w:rsidRDefault="00535DEA" w:rsidP="002F56CB">
      <w:pPr>
        <w:rPr>
          <w:rFonts w:ascii="Calibri" w:eastAsia="Calibri" w:hAnsi="Calibri" w:cs="Calibri"/>
          <w:color w:val="000000"/>
          <w:sz w:val="22"/>
          <w:szCs w:val="22"/>
        </w:rPr>
      </w:pPr>
    </w:p>
    <w:p w14:paraId="4A298243" w14:textId="77777777" w:rsidR="002F56CB" w:rsidRPr="00DE19AF" w:rsidRDefault="002F56CB" w:rsidP="002F56CB">
      <w:pPr>
        <w:rPr>
          <w:rFonts w:ascii="Calibri" w:eastAsia="Calibri" w:hAnsi="Calibri" w:cs="Calibri"/>
          <w:b/>
          <w:bCs/>
          <w:color w:val="000000"/>
          <w:sz w:val="22"/>
        </w:rPr>
      </w:pPr>
      <w:r w:rsidRPr="00DE19AF">
        <w:rPr>
          <w:rFonts w:ascii="Calibri" w:eastAsia="Calibri" w:hAnsi="Calibri" w:cs="Calibri"/>
          <w:b/>
          <w:bCs/>
          <w:color w:val="000000"/>
          <w:sz w:val="22"/>
        </w:rPr>
        <w:t>Jamila Brutus</w:t>
      </w:r>
      <w:r>
        <w:rPr>
          <w:rFonts w:ascii="Calibri" w:eastAsia="Calibri" w:hAnsi="Calibri" w:cs="Calibri"/>
          <w:b/>
          <w:bCs/>
          <w:color w:val="000000"/>
          <w:sz w:val="22"/>
        </w:rPr>
        <w:t>:</w:t>
      </w:r>
    </w:p>
    <w:p w14:paraId="6F06CDB4" w14:textId="77777777" w:rsidR="00A77B3E" w:rsidRDefault="00271134" w:rsidP="002F56CB">
      <w:pPr>
        <w:rPr>
          <w:rFonts w:ascii="Calibri" w:eastAsia="Calibri" w:hAnsi="Calibri" w:cs="Calibri"/>
          <w:color w:val="000000"/>
          <w:sz w:val="22"/>
        </w:rPr>
      </w:pPr>
      <w:r>
        <w:rPr>
          <w:rFonts w:ascii="Calibri" w:eastAsia="Calibri" w:hAnsi="Calibri" w:cs="Calibri"/>
          <w:color w:val="000000"/>
          <w:sz w:val="22"/>
        </w:rPr>
        <w:t>Yes, I agree. Fatigue is the most challenging because a lot of times not even associated with acalabrutinib are usually a baseline symptom. So it's very difficult to treat and to tease out what the etiology of fatigue is as well.</w:t>
      </w:r>
    </w:p>
    <w:p w14:paraId="063ED6E7" w14:textId="77777777" w:rsidR="00535DEA" w:rsidRDefault="00535DEA" w:rsidP="002F56CB">
      <w:pPr>
        <w:rPr>
          <w:rFonts w:ascii="Calibri" w:eastAsia="Calibri" w:hAnsi="Calibri" w:cs="Calibri"/>
          <w:color w:val="000000"/>
          <w:sz w:val="22"/>
        </w:rPr>
      </w:pPr>
    </w:p>
    <w:p w14:paraId="79035370" w14:textId="77777777" w:rsidR="00A90563" w:rsidRPr="00DE19AF" w:rsidRDefault="00A90563" w:rsidP="002F56CB">
      <w:pPr>
        <w:rPr>
          <w:rFonts w:ascii="Calibri" w:eastAsia="Calibri" w:hAnsi="Calibri" w:cs="Calibri"/>
          <w:b/>
          <w:bCs/>
          <w:color w:val="000000"/>
          <w:sz w:val="22"/>
        </w:rPr>
      </w:pPr>
      <w:r w:rsidRPr="00DE19AF">
        <w:rPr>
          <w:rFonts w:ascii="Calibri" w:eastAsia="Calibri" w:hAnsi="Calibri" w:cs="Calibri"/>
          <w:b/>
          <w:bCs/>
          <w:color w:val="000000"/>
          <w:sz w:val="22"/>
        </w:rPr>
        <w:t>Mary DiLorenzo</w:t>
      </w:r>
      <w:r>
        <w:rPr>
          <w:rFonts w:ascii="Calibri" w:eastAsia="Calibri" w:hAnsi="Calibri" w:cs="Calibri"/>
          <w:b/>
          <w:bCs/>
          <w:color w:val="000000"/>
          <w:sz w:val="22"/>
        </w:rPr>
        <w:t>:</w:t>
      </w:r>
    </w:p>
    <w:p w14:paraId="6F06CDB6" w14:textId="5F081635" w:rsidR="00A77B3E" w:rsidRDefault="00271134" w:rsidP="002F56CB">
      <w:pPr>
        <w:rPr>
          <w:rFonts w:ascii="Calibri" w:eastAsia="Calibri" w:hAnsi="Calibri" w:cs="Calibri"/>
          <w:color w:val="000000" w:themeColor="text1"/>
          <w:sz w:val="22"/>
          <w:szCs w:val="22"/>
        </w:rPr>
      </w:pPr>
      <w:r w:rsidRPr="7F1EE542">
        <w:rPr>
          <w:rFonts w:ascii="Calibri" w:eastAsia="Calibri" w:hAnsi="Calibri" w:cs="Calibri"/>
          <w:color w:val="000000" w:themeColor="text1"/>
          <w:sz w:val="22"/>
          <w:szCs w:val="22"/>
        </w:rPr>
        <w:t xml:space="preserve">So what about AE management? So there's a general strategy for dose holds and re-challenges. So of course we're going to hold the offending agent. We're going to treat the adverse reaction to resolution to less than or equal to grade </w:t>
      </w:r>
      <w:r w:rsidR="14889673" w:rsidRPr="7F1EE542">
        <w:rPr>
          <w:rFonts w:ascii="Calibri" w:eastAsia="Calibri" w:hAnsi="Calibri" w:cs="Calibri"/>
          <w:color w:val="000000" w:themeColor="text1"/>
          <w:sz w:val="22"/>
          <w:szCs w:val="22"/>
        </w:rPr>
        <w:t>1</w:t>
      </w:r>
      <w:r w:rsidRPr="7F1EE542">
        <w:rPr>
          <w:rFonts w:ascii="Calibri" w:eastAsia="Calibri" w:hAnsi="Calibri" w:cs="Calibri"/>
          <w:color w:val="000000" w:themeColor="text1"/>
          <w:sz w:val="22"/>
          <w:szCs w:val="22"/>
        </w:rPr>
        <w:t>. We restart at the same dose at the first occurrence. We reduce the dose if recurrent, and we try to avoid stopping the entire regimen unless a life-threatening AE. And that's really important. We have to balance their disease, how they're doing with their disease, and what the long-term outcome is. And so we just have to find that sweet spot of getting them on the right dose of these drugs in order to maximize their response but not put them at unnecessary risk for issues. Patient education is always key. Jamila, I'm sure us as nurses and all of our nurse navigators are involved in the patient care.</w:t>
      </w:r>
    </w:p>
    <w:p w14:paraId="7A9EA3B8" w14:textId="77777777" w:rsidR="002F56CB" w:rsidRDefault="002F56CB" w:rsidP="002F56CB">
      <w:pPr>
        <w:rPr>
          <w:rFonts w:ascii="Calibri" w:eastAsia="Calibri" w:hAnsi="Calibri" w:cs="Calibri"/>
          <w:color w:val="000000"/>
          <w:sz w:val="22"/>
        </w:rPr>
      </w:pPr>
    </w:p>
    <w:p w14:paraId="6F06CDB8" w14:textId="69A56D09" w:rsidR="00A77B3E" w:rsidRDefault="00271134" w:rsidP="002F56CB">
      <w:pPr>
        <w:rPr>
          <w:rFonts w:ascii="Calibri" w:eastAsia="Calibri" w:hAnsi="Calibri" w:cs="Calibri"/>
          <w:color w:val="000000" w:themeColor="text1"/>
          <w:sz w:val="22"/>
          <w:szCs w:val="22"/>
        </w:rPr>
      </w:pPr>
      <w:r w:rsidRPr="7F1EE542">
        <w:rPr>
          <w:rFonts w:ascii="Calibri" w:eastAsia="Calibri" w:hAnsi="Calibri" w:cs="Calibri"/>
          <w:color w:val="000000" w:themeColor="text1"/>
          <w:sz w:val="22"/>
          <w:szCs w:val="22"/>
        </w:rPr>
        <w:t xml:space="preserve">We really, really have to empower these patients to have this ongoing line of communication open with us. They're going to call us if they have a fever of 100.4 or greater. They're going to call us if they have any palpitations or dizziness because we always have that </w:t>
      </w:r>
      <w:r w:rsidR="00C06B35">
        <w:rPr>
          <w:rFonts w:ascii="Calibri" w:eastAsia="Calibri" w:hAnsi="Calibri" w:cs="Calibri"/>
          <w:color w:val="000000" w:themeColor="text1"/>
          <w:sz w:val="22"/>
          <w:szCs w:val="22"/>
        </w:rPr>
        <w:t>AFib</w:t>
      </w:r>
      <w:r w:rsidRPr="7F1EE542">
        <w:rPr>
          <w:rFonts w:ascii="Calibri" w:eastAsia="Calibri" w:hAnsi="Calibri" w:cs="Calibri"/>
          <w:color w:val="000000" w:themeColor="text1"/>
          <w:sz w:val="22"/>
          <w:szCs w:val="22"/>
        </w:rPr>
        <w:t xml:space="preserve"> or high blood pressure in the back of our </w:t>
      </w:r>
      <w:r w:rsidRPr="7F1EE542">
        <w:rPr>
          <w:rFonts w:ascii="Calibri" w:eastAsia="Calibri" w:hAnsi="Calibri" w:cs="Calibri"/>
          <w:color w:val="000000" w:themeColor="text1"/>
          <w:sz w:val="22"/>
          <w:szCs w:val="22"/>
        </w:rPr>
        <w:lastRenderedPageBreak/>
        <w:t>mind as a possibility. Obviously, if they're having any new</w:t>
      </w:r>
      <w:r w:rsidR="4AE3615D" w:rsidRPr="7F1EE542">
        <w:rPr>
          <w:rFonts w:ascii="Calibri" w:eastAsia="Calibri" w:hAnsi="Calibri" w:cs="Calibri"/>
          <w:color w:val="000000" w:themeColor="text1"/>
          <w:sz w:val="22"/>
          <w:szCs w:val="22"/>
        </w:rPr>
        <w:t>-</w:t>
      </w:r>
      <w:r w:rsidRPr="7F1EE542">
        <w:rPr>
          <w:rFonts w:ascii="Calibri" w:eastAsia="Calibri" w:hAnsi="Calibri" w:cs="Calibri"/>
          <w:color w:val="000000" w:themeColor="text1"/>
          <w:sz w:val="22"/>
          <w:szCs w:val="22"/>
        </w:rPr>
        <w:t>onset bleeding or large bruises, we want to know and any severe diarrhea or vomiting. We do not want them home sitting miserable. I always tell patients we can do a lot in the outpatient space, especially with our infusion center attached like you guys have, Jamila. So knowledge is power, tell us sooner rather than later, and we can avoid a lot of ERs or potential hospital admissions. Don't you think?</w:t>
      </w:r>
    </w:p>
    <w:p w14:paraId="77EE189E" w14:textId="77777777" w:rsidR="00535DEA" w:rsidRDefault="00535DEA" w:rsidP="002F56CB">
      <w:pPr>
        <w:rPr>
          <w:rFonts w:ascii="Calibri" w:eastAsia="Calibri" w:hAnsi="Calibri" w:cs="Calibri"/>
          <w:color w:val="000000" w:themeColor="text1"/>
          <w:sz w:val="22"/>
          <w:szCs w:val="22"/>
        </w:rPr>
      </w:pPr>
    </w:p>
    <w:p w14:paraId="3AF5068E" w14:textId="77777777" w:rsidR="002F56CB" w:rsidRPr="00DE19AF" w:rsidRDefault="002F56CB" w:rsidP="002F56CB">
      <w:pPr>
        <w:rPr>
          <w:rFonts w:ascii="Calibri" w:eastAsia="Calibri" w:hAnsi="Calibri" w:cs="Calibri"/>
          <w:b/>
          <w:bCs/>
          <w:color w:val="000000"/>
          <w:sz w:val="22"/>
        </w:rPr>
      </w:pPr>
      <w:r w:rsidRPr="00DE19AF">
        <w:rPr>
          <w:rFonts w:ascii="Calibri" w:eastAsia="Calibri" w:hAnsi="Calibri" w:cs="Calibri"/>
          <w:b/>
          <w:bCs/>
          <w:color w:val="000000"/>
          <w:sz w:val="22"/>
        </w:rPr>
        <w:t>Jamila Brutus</w:t>
      </w:r>
      <w:r>
        <w:rPr>
          <w:rFonts w:ascii="Calibri" w:eastAsia="Calibri" w:hAnsi="Calibri" w:cs="Calibri"/>
          <w:b/>
          <w:bCs/>
          <w:color w:val="000000"/>
          <w:sz w:val="22"/>
        </w:rPr>
        <w:t>:</w:t>
      </w:r>
    </w:p>
    <w:p w14:paraId="6F06CDBA" w14:textId="77777777" w:rsidR="00A77B3E" w:rsidRDefault="00271134" w:rsidP="002F56CB">
      <w:pPr>
        <w:rPr>
          <w:rFonts w:ascii="Calibri" w:eastAsia="Calibri" w:hAnsi="Calibri" w:cs="Calibri"/>
          <w:color w:val="000000"/>
          <w:sz w:val="22"/>
        </w:rPr>
      </w:pPr>
      <w:r>
        <w:rPr>
          <w:rFonts w:ascii="Calibri" w:eastAsia="Calibri" w:hAnsi="Calibri" w:cs="Calibri"/>
          <w:color w:val="000000"/>
          <w:sz w:val="22"/>
        </w:rPr>
        <w:t>Yes, I definitely agree. We like to have an open line of communication because most of these side effects, if not all of these side effects, are usually very well treated. A clinical pro also as far as the side effects with venetoclax, we usually have our patients dose at bedtime so they can sleep through these side effects as well. So we usually find that very helpful with patients.</w:t>
      </w:r>
    </w:p>
    <w:p w14:paraId="415227C3" w14:textId="77777777" w:rsidR="00535DEA" w:rsidRDefault="00535DEA" w:rsidP="002F56CB">
      <w:pPr>
        <w:rPr>
          <w:rFonts w:ascii="Calibri" w:eastAsia="Calibri" w:hAnsi="Calibri" w:cs="Calibri"/>
          <w:color w:val="000000"/>
          <w:sz w:val="22"/>
        </w:rPr>
      </w:pPr>
    </w:p>
    <w:p w14:paraId="7D26242D" w14:textId="77777777" w:rsidR="00A90563" w:rsidRPr="00DE19AF" w:rsidRDefault="00A90563" w:rsidP="002F56CB">
      <w:pPr>
        <w:rPr>
          <w:rFonts w:ascii="Calibri" w:eastAsia="Calibri" w:hAnsi="Calibri" w:cs="Calibri"/>
          <w:b/>
          <w:bCs/>
          <w:color w:val="000000"/>
          <w:sz w:val="22"/>
        </w:rPr>
      </w:pPr>
      <w:r w:rsidRPr="00DE19AF">
        <w:rPr>
          <w:rFonts w:ascii="Calibri" w:eastAsia="Calibri" w:hAnsi="Calibri" w:cs="Calibri"/>
          <w:b/>
          <w:bCs/>
          <w:color w:val="000000"/>
          <w:sz w:val="22"/>
        </w:rPr>
        <w:t>Mary DiLorenzo</w:t>
      </w:r>
      <w:r>
        <w:rPr>
          <w:rFonts w:ascii="Calibri" w:eastAsia="Calibri" w:hAnsi="Calibri" w:cs="Calibri"/>
          <w:b/>
          <w:bCs/>
          <w:color w:val="000000"/>
          <w:sz w:val="22"/>
        </w:rPr>
        <w:t>:</w:t>
      </w:r>
    </w:p>
    <w:p w14:paraId="3721EF6E" w14:textId="57A273BF" w:rsidR="00A77B3E" w:rsidRDefault="00271134" w:rsidP="002F56CB">
      <w:r w:rsidRPr="2DF0EA69">
        <w:rPr>
          <w:rFonts w:ascii="Calibri" w:eastAsia="Calibri" w:hAnsi="Calibri" w:cs="Calibri"/>
          <w:color w:val="000000" w:themeColor="text1"/>
          <w:sz w:val="22"/>
          <w:szCs w:val="22"/>
        </w:rPr>
        <w:t xml:space="preserve">I agree that venetoclax at bedtime is key. It really does help them when they take it on a full stomach and take it at night. </w:t>
      </w:r>
    </w:p>
    <w:p w14:paraId="099D50FB" w14:textId="56CDFC08" w:rsidR="00A77B3E" w:rsidRDefault="00A77B3E" w:rsidP="2DF0EA69">
      <w:pPr>
        <w:rPr>
          <w:rFonts w:ascii="Calibri" w:eastAsia="Calibri" w:hAnsi="Calibri" w:cs="Calibri"/>
          <w:color w:val="000000" w:themeColor="text1"/>
          <w:sz w:val="22"/>
          <w:szCs w:val="22"/>
        </w:rPr>
      </w:pPr>
    </w:p>
    <w:p w14:paraId="0D7DFF50" w14:textId="234330E5" w:rsidR="00A77B3E" w:rsidRDefault="00271134" w:rsidP="002F56CB">
      <w:r w:rsidRPr="2DF0EA69">
        <w:rPr>
          <w:rFonts w:ascii="Calibri" w:eastAsia="Calibri" w:hAnsi="Calibri" w:cs="Calibri"/>
          <w:color w:val="000000" w:themeColor="text1"/>
          <w:sz w:val="22"/>
          <w:szCs w:val="22"/>
        </w:rPr>
        <w:t xml:space="preserve">So here we get to our next polling question. </w:t>
      </w:r>
    </w:p>
    <w:p w14:paraId="678B50EB" w14:textId="1604C38C" w:rsidR="00A77B3E" w:rsidRDefault="00271134" w:rsidP="2DF0EA69">
      <w:pPr>
        <w:pStyle w:val="ListParagraph"/>
        <w:numPr>
          <w:ilvl w:val="0"/>
          <w:numId w:val="2"/>
        </w:numPr>
        <w:rPr>
          <w:rFonts w:ascii="Calibri" w:eastAsia="Calibri" w:hAnsi="Calibri" w:cs="Calibri"/>
          <w:color w:val="000000" w:themeColor="text1"/>
          <w:sz w:val="22"/>
          <w:szCs w:val="22"/>
        </w:rPr>
      </w:pPr>
      <w:r w:rsidRPr="2DF0EA69">
        <w:rPr>
          <w:rFonts w:ascii="Calibri" w:eastAsia="Calibri" w:hAnsi="Calibri" w:cs="Calibri"/>
          <w:color w:val="000000" w:themeColor="text1"/>
          <w:sz w:val="22"/>
          <w:szCs w:val="22"/>
        </w:rPr>
        <w:t xml:space="preserve">What barriers do you find are the most prevalent in patients discontinuing their CLL treatment? Developing of treatment resistance, treatment tolerability and AEs, or socioeconomic or reimbursement factors? </w:t>
      </w:r>
    </w:p>
    <w:p w14:paraId="6F06CDBC" w14:textId="64379AFA" w:rsidR="00A77B3E" w:rsidRDefault="00271134" w:rsidP="2DF0EA69">
      <w:pPr>
        <w:rPr>
          <w:rFonts w:ascii="Calibri" w:eastAsia="Calibri" w:hAnsi="Calibri" w:cs="Calibri"/>
          <w:color w:val="000000"/>
          <w:sz w:val="22"/>
          <w:szCs w:val="22"/>
        </w:rPr>
      </w:pPr>
      <w:r w:rsidRPr="2DF0EA69">
        <w:rPr>
          <w:rFonts w:ascii="Calibri" w:eastAsia="Calibri" w:hAnsi="Calibri" w:cs="Calibri"/>
          <w:color w:val="000000" w:themeColor="text1"/>
          <w:sz w:val="22"/>
          <w:szCs w:val="22"/>
        </w:rPr>
        <w:t>I think in my opinion, and Jamila, I'm curious to see what you think. I really don't think that we see a lot of treatment resistance with this. I really do think that patients respond well and continue to respond even once they complete this fixed</w:t>
      </w:r>
      <w:r w:rsidR="001812CC" w:rsidRPr="2DF0EA69">
        <w:rPr>
          <w:rFonts w:ascii="Calibri" w:eastAsia="Calibri" w:hAnsi="Calibri" w:cs="Calibri"/>
          <w:color w:val="000000" w:themeColor="text1"/>
          <w:sz w:val="22"/>
          <w:szCs w:val="22"/>
        </w:rPr>
        <w:t>-</w:t>
      </w:r>
      <w:r w:rsidRPr="2DF0EA69">
        <w:rPr>
          <w:rFonts w:ascii="Calibri" w:eastAsia="Calibri" w:hAnsi="Calibri" w:cs="Calibri"/>
          <w:color w:val="000000" w:themeColor="text1"/>
          <w:sz w:val="22"/>
          <w:szCs w:val="22"/>
        </w:rPr>
        <w:t xml:space="preserve"> duration therapy. Treatment tolerability in AEs, as long as we have an open and honest conversation with these patients, we are able to keep these patients on treatment. So in terms of socioeconomic or reimbursement factors, I don't know about you, Jamila, but we don't really have any issues with our institute.</w:t>
      </w:r>
    </w:p>
    <w:p w14:paraId="1E1E8D37" w14:textId="77777777" w:rsidR="002F56CB" w:rsidRDefault="002F56CB" w:rsidP="002F56CB">
      <w:pPr>
        <w:rPr>
          <w:rFonts w:ascii="Calibri" w:eastAsia="Calibri" w:hAnsi="Calibri" w:cs="Calibri"/>
          <w:color w:val="000000"/>
          <w:sz w:val="22"/>
        </w:rPr>
      </w:pPr>
    </w:p>
    <w:p w14:paraId="6F06CDBE" w14:textId="1BA4D8D1" w:rsidR="00A77B3E" w:rsidRDefault="00271134" w:rsidP="002F56CB">
      <w:pPr>
        <w:rPr>
          <w:rFonts w:ascii="Calibri" w:eastAsia="Calibri" w:hAnsi="Calibri" w:cs="Calibri"/>
          <w:color w:val="000000"/>
          <w:sz w:val="22"/>
        </w:rPr>
      </w:pPr>
      <w:r>
        <w:rPr>
          <w:rFonts w:ascii="Calibri" w:eastAsia="Calibri" w:hAnsi="Calibri" w:cs="Calibri"/>
          <w:color w:val="000000"/>
          <w:sz w:val="22"/>
        </w:rPr>
        <w:t>We're able to get these drugs approved relatively quickly and into the hands of our patients rapidly. It's a hard question to answer because all of these things absolutely can drive patients in terms of discontinuing their CLL treatment. But as long as we're listening to them and able to tweak what we need to tweak in terms of their regimen, they're able to stay on therapy for the most part. Are you seeing that too, Jamila?</w:t>
      </w:r>
    </w:p>
    <w:p w14:paraId="436996BC" w14:textId="77777777" w:rsidR="00535DEA" w:rsidRDefault="00535DEA" w:rsidP="002F56CB">
      <w:pPr>
        <w:rPr>
          <w:rFonts w:ascii="Calibri" w:eastAsia="Calibri" w:hAnsi="Calibri" w:cs="Calibri"/>
          <w:color w:val="000000"/>
          <w:sz w:val="22"/>
        </w:rPr>
      </w:pPr>
    </w:p>
    <w:p w14:paraId="6F06CDBF" w14:textId="4E017D1B" w:rsidR="00A77B3E" w:rsidRPr="002F56CB" w:rsidRDefault="002F56CB" w:rsidP="002F56CB">
      <w:pPr>
        <w:rPr>
          <w:rFonts w:ascii="Calibri" w:eastAsia="Calibri" w:hAnsi="Calibri" w:cs="Calibri"/>
          <w:b/>
          <w:bCs/>
          <w:color w:val="000000"/>
          <w:sz w:val="22"/>
        </w:rPr>
      </w:pPr>
      <w:r w:rsidRPr="00DE19AF">
        <w:rPr>
          <w:rFonts w:ascii="Calibri" w:eastAsia="Calibri" w:hAnsi="Calibri" w:cs="Calibri"/>
          <w:b/>
          <w:bCs/>
          <w:color w:val="000000"/>
          <w:sz w:val="22"/>
        </w:rPr>
        <w:t>Jamila Brutus</w:t>
      </w:r>
      <w:r>
        <w:rPr>
          <w:rFonts w:ascii="Calibri" w:eastAsia="Calibri" w:hAnsi="Calibri" w:cs="Calibri"/>
          <w:b/>
          <w:bCs/>
          <w:color w:val="000000"/>
          <w:sz w:val="22"/>
        </w:rPr>
        <w:t>:</w:t>
      </w:r>
    </w:p>
    <w:p w14:paraId="6F06CDC0" w14:textId="77777777" w:rsidR="00A77B3E" w:rsidRDefault="00271134" w:rsidP="002F56CB">
      <w:pPr>
        <w:rPr>
          <w:rFonts w:ascii="Calibri" w:eastAsia="Calibri" w:hAnsi="Calibri" w:cs="Calibri"/>
          <w:color w:val="000000"/>
          <w:sz w:val="22"/>
        </w:rPr>
      </w:pPr>
      <w:r>
        <w:rPr>
          <w:rFonts w:ascii="Calibri" w:eastAsia="Calibri" w:hAnsi="Calibri" w:cs="Calibri"/>
          <w:color w:val="000000"/>
          <w:sz w:val="22"/>
        </w:rPr>
        <w:t>Yes, I agree. It's very rare if never we have to discontinue a patient due to resistance or treatment intolerability or even socioeconomic or reimbursement factors. Usually, these patients are able to complete out the 14 cycles of this treatment.</w:t>
      </w:r>
    </w:p>
    <w:p w14:paraId="5A20744B" w14:textId="77777777" w:rsidR="00535DEA" w:rsidRDefault="00535DEA" w:rsidP="002F56CB">
      <w:pPr>
        <w:rPr>
          <w:rFonts w:ascii="Calibri" w:eastAsia="Calibri" w:hAnsi="Calibri" w:cs="Calibri"/>
          <w:color w:val="000000"/>
          <w:sz w:val="22"/>
        </w:rPr>
      </w:pPr>
    </w:p>
    <w:p w14:paraId="30409CA6" w14:textId="77777777" w:rsidR="00A90563" w:rsidRPr="00DE19AF" w:rsidRDefault="00A90563" w:rsidP="002F56CB">
      <w:pPr>
        <w:rPr>
          <w:rFonts w:ascii="Calibri" w:eastAsia="Calibri" w:hAnsi="Calibri" w:cs="Calibri"/>
          <w:b/>
          <w:bCs/>
          <w:color w:val="000000"/>
          <w:sz w:val="22"/>
        </w:rPr>
      </w:pPr>
      <w:r w:rsidRPr="00DE19AF">
        <w:rPr>
          <w:rFonts w:ascii="Calibri" w:eastAsia="Calibri" w:hAnsi="Calibri" w:cs="Calibri"/>
          <w:b/>
          <w:bCs/>
          <w:color w:val="000000"/>
          <w:sz w:val="22"/>
        </w:rPr>
        <w:t>Mary DiLorenzo</w:t>
      </w:r>
      <w:r>
        <w:rPr>
          <w:rFonts w:ascii="Calibri" w:eastAsia="Calibri" w:hAnsi="Calibri" w:cs="Calibri"/>
          <w:b/>
          <w:bCs/>
          <w:color w:val="000000"/>
          <w:sz w:val="22"/>
        </w:rPr>
        <w:t>:</w:t>
      </w:r>
    </w:p>
    <w:p w14:paraId="6F06CDC2" w14:textId="77777777" w:rsidR="00A77B3E" w:rsidRDefault="00271134" w:rsidP="002F56CB">
      <w:pPr>
        <w:rPr>
          <w:rFonts w:ascii="Calibri" w:eastAsia="Calibri" w:hAnsi="Calibri" w:cs="Calibri"/>
          <w:color w:val="000000"/>
          <w:sz w:val="22"/>
        </w:rPr>
      </w:pPr>
      <w:r>
        <w:rPr>
          <w:rFonts w:ascii="Calibri" w:eastAsia="Calibri" w:hAnsi="Calibri" w:cs="Calibri"/>
          <w:color w:val="000000"/>
          <w:sz w:val="22"/>
        </w:rPr>
        <w:t>So in conclusion, most treatment failures come from preventable toxicity, not resistance. With proactive management, the vast majority of patients stay on therapy without compromised efficacy, which is so important for us to know as providers and for patients to understand when they start treatment for their CLL. Thank you for joining us on this case-based exchange. We hope this has been informative and interesting for you.</w:t>
      </w:r>
    </w:p>
    <w:p w14:paraId="397749D4" w14:textId="77777777" w:rsidR="002F56CB" w:rsidRPr="00DE19AF" w:rsidRDefault="002F56CB" w:rsidP="002F56CB">
      <w:pPr>
        <w:rPr>
          <w:rFonts w:ascii="Calibri" w:eastAsia="Calibri" w:hAnsi="Calibri" w:cs="Calibri"/>
          <w:b/>
          <w:bCs/>
          <w:color w:val="000000"/>
          <w:sz w:val="22"/>
        </w:rPr>
      </w:pPr>
      <w:r w:rsidRPr="00DE19AF">
        <w:rPr>
          <w:rFonts w:ascii="Calibri" w:eastAsia="Calibri" w:hAnsi="Calibri" w:cs="Calibri"/>
          <w:b/>
          <w:bCs/>
          <w:color w:val="000000"/>
          <w:sz w:val="22"/>
        </w:rPr>
        <w:t>Jamila Brutus</w:t>
      </w:r>
      <w:r>
        <w:rPr>
          <w:rFonts w:ascii="Calibri" w:eastAsia="Calibri" w:hAnsi="Calibri" w:cs="Calibri"/>
          <w:b/>
          <w:bCs/>
          <w:color w:val="000000"/>
          <w:sz w:val="22"/>
        </w:rPr>
        <w:t>:</w:t>
      </w:r>
    </w:p>
    <w:p w14:paraId="6F06CDC4" w14:textId="77777777" w:rsidR="00A77B3E" w:rsidRDefault="00271134" w:rsidP="002F56CB">
      <w:pPr>
        <w:rPr>
          <w:rFonts w:ascii="Calibri" w:eastAsia="Calibri" w:hAnsi="Calibri" w:cs="Calibri"/>
          <w:color w:val="000000"/>
          <w:sz w:val="22"/>
        </w:rPr>
      </w:pPr>
      <w:r>
        <w:rPr>
          <w:rFonts w:ascii="Calibri" w:eastAsia="Calibri" w:hAnsi="Calibri" w:cs="Calibri"/>
          <w:color w:val="000000"/>
          <w:sz w:val="22"/>
        </w:rPr>
        <w:t>Thank you for joining us.</w:t>
      </w:r>
    </w:p>
    <w:p w14:paraId="6F06CDC5" w14:textId="77777777" w:rsidR="00A77B3E" w:rsidRDefault="00A77B3E" w:rsidP="002F56CB">
      <w:pPr>
        <w:rPr>
          <w:rFonts w:ascii="Calibri" w:eastAsia="Calibri" w:hAnsi="Calibri" w:cs="Calibri"/>
          <w:color w:val="000000"/>
          <w:sz w:val="22"/>
        </w:rPr>
      </w:pPr>
    </w:p>
    <w:sectPr w:rsidR="00A77B3E" w:rsidSect="00535DEA">
      <w:headerReference w:type="default" r:id="rId10"/>
      <w:pgSz w:w="12240" w:h="15840"/>
      <w:pgMar w:top="720" w:right="1440" w:bottom="45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0C83A" w14:textId="77777777" w:rsidR="00A93BD0" w:rsidRDefault="00A93BD0">
      <w:r>
        <w:separator/>
      </w:r>
    </w:p>
  </w:endnote>
  <w:endnote w:type="continuationSeparator" w:id="0">
    <w:p w14:paraId="2E90AB2D" w14:textId="77777777" w:rsidR="00A93BD0" w:rsidRDefault="00A93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953FB" w14:textId="77777777" w:rsidR="00A93BD0" w:rsidRDefault="00A93BD0">
      <w:r>
        <w:separator/>
      </w:r>
    </w:p>
  </w:footnote>
  <w:footnote w:type="continuationSeparator" w:id="0">
    <w:p w14:paraId="41352F7F" w14:textId="77777777" w:rsidR="00A93BD0" w:rsidRDefault="00A93B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135AB3" w14:paraId="6F06CDC8" w14:textId="77777777">
      <w:tc>
        <w:tcPr>
          <w:tcW w:w="5000" w:type="pct"/>
          <w:tcBorders>
            <w:top w:val="nil"/>
            <w:left w:val="nil"/>
            <w:bottom w:val="nil"/>
            <w:right w:val="nil"/>
          </w:tcBorders>
          <w:noWrap/>
        </w:tcPr>
        <w:p w14:paraId="6F06CDC7" w14:textId="77777777" w:rsidR="00135AB3" w:rsidRDefault="00135AB3" w:rsidP="00E70518">
          <w:pPr>
            <w:rPr>
              <w:color w:val="000000"/>
            </w:rPr>
          </w:pPr>
        </w:p>
      </w:tc>
    </w:tr>
  </w:tbl>
  <w:p w14:paraId="6F06CDC9" w14:textId="77777777" w:rsidR="00135AB3" w:rsidRDefault="00135AB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4860A"/>
    <w:multiLevelType w:val="hybridMultilevel"/>
    <w:tmpl w:val="F9969590"/>
    <w:lvl w:ilvl="0" w:tplc="463606EE">
      <w:start w:val="1"/>
      <w:numFmt w:val="bullet"/>
      <w:lvlText w:val=""/>
      <w:lvlJc w:val="left"/>
      <w:pPr>
        <w:ind w:left="720" w:hanging="360"/>
      </w:pPr>
      <w:rPr>
        <w:rFonts w:ascii="Symbol" w:hAnsi="Symbol" w:hint="default"/>
      </w:rPr>
    </w:lvl>
    <w:lvl w:ilvl="1" w:tplc="53DCA36C">
      <w:start w:val="1"/>
      <w:numFmt w:val="bullet"/>
      <w:lvlText w:val="o"/>
      <w:lvlJc w:val="left"/>
      <w:pPr>
        <w:ind w:left="1440" w:hanging="360"/>
      </w:pPr>
      <w:rPr>
        <w:rFonts w:ascii="Courier New" w:hAnsi="Courier New" w:hint="default"/>
      </w:rPr>
    </w:lvl>
    <w:lvl w:ilvl="2" w:tplc="1100897C">
      <w:start w:val="1"/>
      <w:numFmt w:val="bullet"/>
      <w:lvlText w:val=""/>
      <w:lvlJc w:val="left"/>
      <w:pPr>
        <w:ind w:left="2160" w:hanging="360"/>
      </w:pPr>
      <w:rPr>
        <w:rFonts w:ascii="Wingdings" w:hAnsi="Wingdings" w:hint="default"/>
      </w:rPr>
    </w:lvl>
    <w:lvl w:ilvl="3" w:tplc="0040127A">
      <w:start w:val="1"/>
      <w:numFmt w:val="bullet"/>
      <w:lvlText w:val=""/>
      <w:lvlJc w:val="left"/>
      <w:pPr>
        <w:ind w:left="2880" w:hanging="360"/>
      </w:pPr>
      <w:rPr>
        <w:rFonts w:ascii="Symbol" w:hAnsi="Symbol" w:hint="default"/>
      </w:rPr>
    </w:lvl>
    <w:lvl w:ilvl="4" w:tplc="2EDC0BA8">
      <w:start w:val="1"/>
      <w:numFmt w:val="bullet"/>
      <w:lvlText w:val="o"/>
      <w:lvlJc w:val="left"/>
      <w:pPr>
        <w:ind w:left="3600" w:hanging="360"/>
      </w:pPr>
      <w:rPr>
        <w:rFonts w:ascii="Courier New" w:hAnsi="Courier New" w:hint="default"/>
      </w:rPr>
    </w:lvl>
    <w:lvl w:ilvl="5" w:tplc="7F52DC3E">
      <w:start w:val="1"/>
      <w:numFmt w:val="bullet"/>
      <w:lvlText w:val=""/>
      <w:lvlJc w:val="left"/>
      <w:pPr>
        <w:ind w:left="4320" w:hanging="360"/>
      </w:pPr>
      <w:rPr>
        <w:rFonts w:ascii="Wingdings" w:hAnsi="Wingdings" w:hint="default"/>
      </w:rPr>
    </w:lvl>
    <w:lvl w:ilvl="6" w:tplc="C80AB128">
      <w:start w:val="1"/>
      <w:numFmt w:val="bullet"/>
      <w:lvlText w:val=""/>
      <w:lvlJc w:val="left"/>
      <w:pPr>
        <w:ind w:left="5040" w:hanging="360"/>
      </w:pPr>
      <w:rPr>
        <w:rFonts w:ascii="Symbol" w:hAnsi="Symbol" w:hint="default"/>
      </w:rPr>
    </w:lvl>
    <w:lvl w:ilvl="7" w:tplc="BA6669FA">
      <w:start w:val="1"/>
      <w:numFmt w:val="bullet"/>
      <w:lvlText w:val="o"/>
      <w:lvlJc w:val="left"/>
      <w:pPr>
        <w:ind w:left="5760" w:hanging="360"/>
      </w:pPr>
      <w:rPr>
        <w:rFonts w:ascii="Courier New" w:hAnsi="Courier New" w:hint="default"/>
      </w:rPr>
    </w:lvl>
    <w:lvl w:ilvl="8" w:tplc="2ABE1954">
      <w:start w:val="1"/>
      <w:numFmt w:val="bullet"/>
      <w:lvlText w:val=""/>
      <w:lvlJc w:val="left"/>
      <w:pPr>
        <w:ind w:left="6480" w:hanging="360"/>
      </w:pPr>
      <w:rPr>
        <w:rFonts w:ascii="Wingdings" w:hAnsi="Wingdings" w:hint="default"/>
      </w:rPr>
    </w:lvl>
  </w:abstractNum>
  <w:abstractNum w:abstractNumId="1" w15:restartNumberingAfterBreak="0">
    <w:nsid w:val="7F5CCD98"/>
    <w:multiLevelType w:val="hybridMultilevel"/>
    <w:tmpl w:val="DBEEBBEE"/>
    <w:lvl w:ilvl="0" w:tplc="2200DF0C">
      <w:start w:val="1"/>
      <w:numFmt w:val="bullet"/>
      <w:lvlText w:val=""/>
      <w:lvlJc w:val="left"/>
      <w:pPr>
        <w:ind w:left="720" w:hanging="360"/>
      </w:pPr>
      <w:rPr>
        <w:rFonts w:ascii="Symbol" w:hAnsi="Symbol" w:hint="default"/>
      </w:rPr>
    </w:lvl>
    <w:lvl w:ilvl="1" w:tplc="5C7A3EA2">
      <w:start w:val="1"/>
      <w:numFmt w:val="bullet"/>
      <w:lvlText w:val="o"/>
      <w:lvlJc w:val="left"/>
      <w:pPr>
        <w:ind w:left="1440" w:hanging="360"/>
      </w:pPr>
      <w:rPr>
        <w:rFonts w:ascii="Courier New" w:hAnsi="Courier New" w:hint="default"/>
      </w:rPr>
    </w:lvl>
    <w:lvl w:ilvl="2" w:tplc="1C7E8014">
      <w:start w:val="1"/>
      <w:numFmt w:val="bullet"/>
      <w:lvlText w:val=""/>
      <w:lvlJc w:val="left"/>
      <w:pPr>
        <w:ind w:left="2160" w:hanging="360"/>
      </w:pPr>
      <w:rPr>
        <w:rFonts w:ascii="Wingdings" w:hAnsi="Wingdings" w:hint="default"/>
      </w:rPr>
    </w:lvl>
    <w:lvl w:ilvl="3" w:tplc="F6F00768">
      <w:start w:val="1"/>
      <w:numFmt w:val="bullet"/>
      <w:lvlText w:val=""/>
      <w:lvlJc w:val="left"/>
      <w:pPr>
        <w:ind w:left="2880" w:hanging="360"/>
      </w:pPr>
      <w:rPr>
        <w:rFonts w:ascii="Symbol" w:hAnsi="Symbol" w:hint="default"/>
      </w:rPr>
    </w:lvl>
    <w:lvl w:ilvl="4" w:tplc="63B234D8">
      <w:start w:val="1"/>
      <w:numFmt w:val="bullet"/>
      <w:lvlText w:val="o"/>
      <w:lvlJc w:val="left"/>
      <w:pPr>
        <w:ind w:left="3600" w:hanging="360"/>
      </w:pPr>
      <w:rPr>
        <w:rFonts w:ascii="Courier New" w:hAnsi="Courier New" w:hint="default"/>
      </w:rPr>
    </w:lvl>
    <w:lvl w:ilvl="5" w:tplc="D3367E74">
      <w:start w:val="1"/>
      <w:numFmt w:val="bullet"/>
      <w:lvlText w:val=""/>
      <w:lvlJc w:val="left"/>
      <w:pPr>
        <w:ind w:left="4320" w:hanging="360"/>
      </w:pPr>
      <w:rPr>
        <w:rFonts w:ascii="Wingdings" w:hAnsi="Wingdings" w:hint="default"/>
      </w:rPr>
    </w:lvl>
    <w:lvl w:ilvl="6" w:tplc="85E2B5A6">
      <w:start w:val="1"/>
      <w:numFmt w:val="bullet"/>
      <w:lvlText w:val=""/>
      <w:lvlJc w:val="left"/>
      <w:pPr>
        <w:ind w:left="5040" w:hanging="360"/>
      </w:pPr>
      <w:rPr>
        <w:rFonts w:ascii="Symbol" w:hAnsi="Symbol" w:hint="default"/>
      </w:rPr>
    </w:lvl>
    <w:lvl w:ilvl="7" w:tplc="18D6481E">
      <w:start w:val="1"/>
      <w:numFmt w:val="bullet"/>
      <w:lvlText w:val="o"/>
      <w:lvlJc w:val="left"/>
      <w:pPr>
        <w:ind w:left="5760" w:hanging="360"/>
      </w:pPr>
      <w:rPr>
        <w:rFonts w:ascii="Courier New" w:hAnsi="Courier New" w:hint="default"/>
      </w:rPr>
    </w:lvl>
    <w:lvl w:ilvl="8" w:tplc="3EE89B70">
      <w:start w:val="1"/>
      <w:numFmt w:val="bullet"/>
      <w:lvlText w:val=""/>
      <w:lvlJc w:val="left"/>
      <w:pPr>
        <w:ind w:left="6480" w:hanging="360"/>
      </w:pPr>
      <w:rPr>
        <w:rFonts w:ascii="Wingdings" w:hAnsi="Wingdings" w:hint="default"/>
      </w:rPr>
    </w:lvl>
  </w:abstractNum>
  <w:num w:numId="1" w16cid:durableId="392823124">
    <w:abstractNumId w:val="1"/>
  </w:num>
  <w:num w:numId="2" w16cid:durableId="1232931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17348"/>
    <w:rsid w:val="000B7186"/>
    <w:rsid w:val="00104EDA"/>
    <w:rsid w:val="00135AB3"/>
    <w:rsid w:val="001812CC"/>
    <w:rsid w:val="001A305B"/>
    <w:rsid w:val="00202FD6"/>
    <w:rsid w:val="00271134"/>
    <w:rsid w:val="002D06A8"/>
    <w:rsid w:val="002F56CB"/>
    <w:rsid w:val="00341225"/>
    <w:rsid w:val="004F053F"/>
    <w:rsid w:val="00535DEA"/>
    <w:rsid w:val="005953A3"/>
    <w:rsid w:val="006F30F9"/>
    <w:rsid w:val="00A506C6"/>
    <w:rsid w:val="00A77B3E"/>
    <w:rsid w:val="00A90563"/>
    <w:rsid w:val="00A93BD0"/>
    <w:rsid w:val="00AF4D23"/>
    <w:rsid w:val="00C06B35"/>
    <w:rsid w:val="00CA2A55"/>
    <w:rsid w:val="00DE19AF"/>
    <w:rsid w:val="00E70518"/>
    <w:rsid w:val="00F2028D"/>
    <w:rsid w:val="034683B8"/>
    <w:rsid w:val="03DF8D27"/>
    <w:rsid w:val="0412E6AA"/>
    <w:rsid w:val="0563C12C"/>
    <w:rsid w:val="05931B40"/>
    <w:rsid w:val="06EFB744"/>
    <w:rsid w:val="07D429B3"/>
    <w:rsid w:val="0986B4A9"/>
    <w:rsid w:val="0A68B5CC"/>
    <w:rsid w:val="0AAC41FE"/>
    <w:rsid w:val="0AD9E5E9"/>
    <w:rsid w:val="0BCF6DD3"/>
    <w:rsid w:val="101175BD"/>
    <w:rsid w:val="10CBB719"/>
    <w:rsid w:val="118A8F28"/>
    <w:rsid w:val="14889673"/>
    <w:rsid w:val="17997145"/>
    <w:rsid w:val="18AC654F"/>
    <w:rsid w:val="18D96645"/>
    <w:rsid w:val="194613E5"/>
    <w:rsid w:val="197B519F"/>
    <w:rsid w:val="1B316453"/>
    <w:rsid w:val="1C7B44D0"/>
    <w:rsid w:val="1CE626A2"/>
    <w:rsid w:val="1CF59395"/>
    <w:rsid w:val="1F57B940"/>
    <w:rsid w:val="241A0DBA"/>
    <w:rsid w:val="255C84F8"/>
    <w:rsid w:val="26EB31BB"/>
    <w:rsid w:val="2B14EB7C"/>
    <w:rsid w:val="2DF0EA69"/>
    <w:rsid w:val="2F665DBE"/>
    <w:rsid w:val="3130AECC"/>
    <w:rsid w:val="347EDB96"/>
    <w:rsid w:val="34F0DC04"/>
    <w:rsid w:val="356B0B7D"/>
    <w:rsid w:val="37005098"/>
    <w:rsid w:val="38E6BB0E"/>
    <w:rsid w:val="3B7E5053"/>
    <w:rsid w:val="3F09D33B"/>
    <w:rsid w:val="4192D202"/>
    <w:rsid w:val="431E310E"/>
    <w:rsid w:val="4481ACA6"/>
    <w:rsid w:val="4AE3615D"/>
    <w:rsid w:val="4BA032D7"/>
    <w:rsid w:val="4BAD2219"/>
    <w:rsid w:val="4C8412A2"/>
    <w:rsid w:val="500EB465"/>
    <w:rsid w:val="502303BA"/>
    <w:rsid w:val="504EEA6B"/>
    <w:rsid w:val="510D94DE"/>
    <w:rsid w:val="543D5304"/>
    <w:rsid w:val="5B725E7E"/>
    <w:rsid w:val="5E685C16"/>
    <w:rsid w:val="611C4495"/>
    <w:rsid w:val="62890A7B"/>
    <w:rsid w:val="63598AA3"/>
    <w:rsid w:val="63A85756"/>
    <w:rsid w:val="691FFA2D"/>
    <w:rsid w:val="74C77073"/>
    <w:rsid w:val="7545151D"/>
    <w:rsid w:val="75FE0DE0"/>
    <w:rsid w:val="76B74E92"/>
    <w:rsid w:val="77B47FA7"/>
    <w:rsid w:val="793E4C1E"/>
    <w:rsid w:val="79AD67C0"/>
    <w:rsid w:val="7A718CEC"/>
    <w:rsid w:val="7C682438"/>
    <w:rsid w:val="7D06DCBA"/>
    <w:rsid w:val="7D6AEC85"/>
    <w:rsid w:val="7E2D373D"/>
    <w:rsid w:val="7E5FA854"/>
    <w:rsid w:val="7F1EE5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06CD89"/>
  <w15:docId w15:val="{8BFDB489-B004-417E-B29E-A52AEC292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70518"/>
    <w:pPr>
      <w:tabs>
        <w:tab w:val="center" w:pos="4680"/>
        <w:tab w:val="right" w:pos="9360"/>
      </w:tabs>
    </w:pPr>
  </w:style>
  <w:style w:type="character" w:customStyle="1" w:styleId="HeaderChar">
    <w:name w:val="Header Char"/>
    <w:basedOn w:val="DefaultParagraphFont"/>
    <w:link w:val="Header"/>
    <w:rsid w:val="00E70518"/>
    <w:rPr>
      <w:sz w:val="24"/>
      <w:szCs w:val="24"/>
    </w:rPr>
  </w:style>
  <w:style w:type="paragraph" w:styleId="Footer">
    <w:name w:val="footer"/>
    <w:basedOn w:val="Normal"/>
    <w:link w:val="FooterChar"/>
    <w:rsid w:val="00E70518"/>
    <w:pPr>
      <w:tabs>
        <w:tab w:val="center" w:pos="4680"/>
        <w:tab w:val="right" w:pos="9360"/>
      </w:tabs>
    </w:pPr>
  </w:style>
  <w:style w:type="character" w:customStyle="1" w:styleId="FooterChar">
    <w:name w:val="Footer Char"/>
    <w:basedOn w:val="DefaultParagraphFont"/>
    <w:link w:val="Footer"/>
    <w:rsid w:val="00E70518"/>
    <w:rPr>
      <w:sz w:val="24"/>
      <w:szCs w:val="24"/>
    </w:rPr>
  </w:style>
  <w:style w:type="paragraph" w:styleId="Revision">
    <w:name w:val="Revision"/>
    <w:hidden/>
    <w:uiPriority w:val="99"/>
    <w:semiHidden/>
    <w:rsid w:val="002D06A8"/>
    <w:rPr>
      <w:sz w:val="24"/>
      <w:szCs w:val="24"/>
    </w:rPr>
  </w:style>
  <w:style w:type="paragraph" w:styleId="ListParagraph">
    <w:name w:val="List Paragraph"/>
    <w:basedOn w:val="Normal"/>
    <w:uiPriority w:val="34"/>
    <w:qFormat/>
    <w:rsid w:val="2DF0EA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YES_x002f_NO xmlns="73880f1c-9030-4fc3-ae91-9c598c094142">true</YES_x002f_NO>
    <TaxCatchAll xmlns="6d1dde86-196c-4bcc-9560-feab4a4d52ca" xsi:nil="true"/>
    <DocumentDescription xmlns="73880f1c-9030-4fc3-ae91-9c598c094142" xsi:nil="true"/>
    <lcf76f155ced4ddcb4097134ff3c332f xmlns="73880f1c-9030-4fc3-ae91-9c598c094142">
      <Terms xmlns="http://schemas.microsoft.com/office/infopath/2007/PartnerControls"/>
    </lcf76f155ced4ddcb4097134ff3c332f>
    <NOTES xmlns="73880f1c-9030-4fc3-ae91-9c598c09414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2D3B99B593B03488EE4F17EC3915500" ma:contentTypeVersion="21" ma:contentTypeDescription="Create a new document." ma:contentTypeScope="" ma:versionID="4a43889dd6784bcc6f502aa52e1d4534">
  <xsd:schema xmlns:xsd="http://www.w3.org/2001/XMLSchema" xmlns:xs="http://www.w3.org/2001/XMLSchema" xmlns:p="http://schemas.microsoft.com/office/2006/metadata/properties" xmlns:ns2="73880f1c-9030-4fc3-ae91-9c598c094142" xmlns:ns3="6d1dde86-196c-4bcc-9560-feab4a4d52ca" targetNamespace="http://schemas.microsoft.com/office/2006/metadata/properties" ma:root="true" ma:fieldsID="ec022ef145e571d2da369c1f75f87958" ns2:_="" ns3:_="">
    <xsd:import namespace="73880f1c-9030-4fc3-ae91-9c598c094142"/>
    <xsd:import namespace="6d1dde86-196c-4bcc-9560-feab4a4d52c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YES_x002f_NO" minOccurs="0"/>
                <xsd:element ref="ns2:MediaServiceSearchProperties" minOccurs="0"/>
                <xsd:element ref="ns2:DocumentDescription" minOccurs="0"/>
                <xsd:element ref="ns2:NOT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880f1c-9030-4fc3-ae91-9c598c0941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482e0c1-59fc-4f79-b4ac-29e829bef9d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YES_x002f_NO" ma:index="24" nillable="true" ma:displayName="YES/NO" ma:default="1" ma:description="Formatted" ma:format="Dropdown" ma:internalName="YES_x002f_NO">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umentDescription" ma:index="26" nillable="true" ma:displayName="Document Description" ma:format="Dropdown" ma:internalName="DocumentDescription">
      <xsd:simpleType>
        <xsd:restriction base="dms:Text">
          <xsd:maxLength value="255"/>
        </xsd:restriction>
      </xsd:simpleType>
    </xsd:element>
    <xsd:element name="NOTES" ma:index="27" nillable="true" ma:displayName="NOTES" ma:format="Dropdown" ma:internalName="NOTES">
      <xsd:simpleType>
        <xsd:restriction base="dms:Text">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1dde86-196c-4bcc-9560-feab4a4d52c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2a1ec13-31e6-415c-8ed0-cb8bb0eab1bf}" ma:internalName="TaxCatchAll" ma:showField="CatchAllData" ma:web="6d1dde86-196c-4bcc-9560-feab4a4d52c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AC2D97-7CB1-4780-8793-5FF65A552F3D}">
  <ds:schemaRefs>
    <ds:schemaRef ds:uri="http://schemas.microsoft.com/office/2006/metadata/properties"/>
    <ds:schemaRef ds:uri="http://schemas.microsoft.com/office/infopath/2007/PartnerControls"/>
    <ds:schemaRef ds:uri="73880f1c-9030-4fc3-ae91-9c598c094142"/>
    <ds:schemaRef ds:uri="6d1dde86-196c-4bcc-9560-feab4a4d52ca"/>
  </ds:schemaRefs>
</ds:datastoreItem>
</file>

<file path=customXml/itemProps2.xml><?xml version="1.0" encoding="utf-8"?>
<ds:datastoreItem xmlns:ds="http://schemas.openxmlformats.org/officeDocument/2006/customXml" ds:itemID="{2C40E2C3-807D-4A33-90D9-27F685EE8C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880f1c-9030-4fc3-ae91-9c598c094142"/>
    <ds:schemaRef ds:uri="6d1dde86-196c-4bcc-9560-feab4a4d52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18C0A6-436F-45D3-A3D0-82684236093E}">
  <ds:schemaRefs>
    <ds:schemaRef ds:uri="http://schemas.microsoft.com/sharepoint/v3/contenttype/forms"/>
  </ds:schemaRefs>
</ds:datastoreItem>
</file>

<file path=docMetadata/LabelInfo.xml><?xml version="1.0" encoding="utf-8"?>
<clbl:labelList xmlns:clbl="http://schemas.microsoft.com/office/2020/mipLabelMetadata">
  <clbl:label id="{0fb6fdc3-eb1e-4f97-9eb8-a94b752b1d81}" enabled="0" method="" siteId="{0fb6fdc3-eb1e-4f97-9eb8-a94b752b1d81}"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3415</Words>
  <Characters>16190</Characters>
  <Application>Microsoft Office Word</Application>
  <DocSecurity>4</DocSecurity>
  <Lines>256</Lines>
  <Paragraphs>65</Paragraphs>
  <ScaleCrop>false</ScaleCrop>
  <Company/>
  <LinksUpToDate>false</LinksUpToDate>
  <CharactersWithSpaces>19540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Mandy Kerbel</dc:creator>
  <cp:lastModifiedBy>Mandy Kerbel</cp:lastModifiedBy>
  <cp:revision>2</cp:revision>
  <dcterms:created xsi:type="dcterms:W3CDTF">2026-07-15T14:36:00Z</dcterms:created>
  <dcterms:modified xsi:type="dcterms:W3CDTF">2026-07-15T14:36:00Z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0x010100B2D3B99B593B03488EE4F17EC3915500</vt:lpwstr>
  </property>
  <property fmtid="{D5CDD505-2E9C-101B-9397-08002B2CF9AE}" pid="3" name="MediaServiceImageTags">
    <vt:lpwstr/>
  </property>
</Properties>
</file>